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E8" w:rsidRDefault="003E18E8" w:rsidP="00822FC1">
      <w:pPr>
        <w:pStyle w:val="a5"/>
        <w:jc w:val="center"/>
        <w:rPr>
          <w:rFonts w:ascii="Times New Roman" w:hAnsi="Times New Roman"/>
          <w:sz w:val="36"/>
          <w:szCs w:val="36"/>
        </w:rPr>
      </w:pPr>
    </w:p>
    <w:p w:rsidR="003E18E8" w:rsidRDefault="003E18E8" w:rsidP="00822FC1">
      <w:pPr>
        <w:pStyle w:val="a5"/>
        <w:jc w:val="center"/>
        <w:rPr>
          <w:rFonts w:ascii="Times New Roman" w:hAnsi="Times New Roman"/>
          <w:sz w:val="36"/>
          <w:szCs w:val="36"/>
        </w:rPr>
      </w:pPr>
    </w:p>
    <w:p w:rsidR="003E18E8" w:rsidRDefault="003E18E8" w:rsidP="00822FC1">
      <w:pPr>
        <w:pStyle w:val="a5"/>
        <w:jc w:val="center"/>
        <w:rPr>
          <w:rFonts w:ascii="Times New Roman" w:hAnsi="Times New Roman"/>
          <w:sz w:val="36"/>
          <w:szCs w:val="36"/>
        </w:rPr>
      </w:pPr>
    </w:p>
    <w:p w:rsidR="003E18E8" w:rsidRDefault="003E18E8" w:rsidP="00822FC1">
      <w:pPr>
        <w:pStyle w:val="a5"/>
        <w:jc w:val="center"/>
        <w:rPr>
          <w:rFonts w:ascii="Times New Roman" w:hAnsi="Times New Roman"/>
          <w:sz w:val="36"/>
          <w:szCs w:val="36"/>
        </w:rPr>
      </w:pPr>
    </w:p>
    <w:p w:rsidR="003E18E8" w:rsidRDefault="003E18E8" w:rsidP="00822FC1">
      <w:pPr>
        <w:pStyle w:val="a5"/>
        <w:jc w:val="center"/>
        <w:rPr>
          <w:rFonts w:ascii="Times New Roman" w:hAnsi="Times New Roman"/>
          <w:sz w:val="36"/>
          <w:szCs w:val="36"/>
        </w:rPr>
      </w:pPr>
    </w:p>
    <w:p w:rsidR="003E18E8" w:rsidRDefault="003E18E8" w:rsidP="00822FC1">
      <w:pPr>
        <w:pStyle w:val="a5"/>
        <w:jc w:val="center"/>
        <w:rPr>
          <w:rFonts w:ascii="Times New Roman" w:hAnsi="Times New Roman"/>
          <w:sz w:val="36"/>
          <w:szCs w:val="36"/>
        </w:rPr>
      </w:pPr>
    </w:p>
    <w:p w:rsidR="00822FC1" w:rsidRPr="00822FC1" w:rsidRDefault="00822FC1" w:rsidP="00822FC1">
      <w:pPr>
        <w:pStyle w:val="a5"/>
        <w:jc w:val="center"/>
        <w:rPr>
          <w:rFonts w:ascii="Times New Roman" w:hAnsi="Times New Roman"/>
          <w:sz w:val="36"/>
          <w:szCs w:val="36"/>
        </w:rPr>
      </w:pPr>
      <w:r w:rsidRPr="00822FC1">
        <w:rPr>
          <w:rFonts w:ascii="Times New Roman" w:hAnsi="Times New Roman"/>
          <w:sz w:val="36"/>
          <w:szCs w:val="36"/>
        </w:rPr>
        <w:t>Решение об оценке</w:t>
      </w:r>
    </w:p>
    <w:p w:rsidR="00BD0880" w:rsidRDefault="00822FC1" w:rsidP="00BD0880">
      <w:pPr>
        <w:pStyle w:val="a5"/>
        <w:jc w:val="center"/>
        <w:rPr>
          <w:rFonts w:ascii="Times New Roman" w:hAnsi="Times New Roman"/>
          <w:sz w:val="36"/>
          <w:szCs w:val="36"/>
        </w:rPr>
      </w:pPr>
      <w:r w:rsidRPr="00822FC1">
        <w:rPr>
          <w:rFonts w:ascii="Times New Roman" w:hAnsi="Times New Roman"/>
          <w:sz w:val="36"/>
          <w:szCs w:val="36"/>
        </w:rPr>
        <w:t>рыночной стоимости имущества должника</w:t>
      </w:r>
    </w:p>
    <w:p w:rsidR="00BD0880" w:rsidRPr="002D0354" w:rsidRDefault="000B45C8" w:rsidP="00BD0880">
      <w:pPr>
        <w:pStyle w:val="a5"/>
        <w:jc w:val="center"/>
        <w:rPr>
          <w:rFonts w:ascii="Times New Roman" w:hAnsi="Times New Roman"/>
          <w:b/>
          <w:sz w:val="36"/>
          <w:szCs w:val="36"/>
        </w:rPr>
      </w:pPr>
      <w:proofErr w:type="spellStart"/>
      <w:r>
        <w:rPr>
          <w:rFonts w:ascii="Times New Roman" w:hAnsi="Times New Roman"/>
          <w:sz w:val="36"/>
          <w:szCs w:val="36"/>
        </w:rPr>
        <w:t>Султановой</w:t>
      </w:r>
      <w:proofErr w:type="spellEnd"/>
      <w:r>
        <w:rPr>
          <w:rFonts w:ascii="Times New Roman" w:hAnsi="Times New Roman"/>
          <w:sz w:val="36"/>
          <w:szCs w:val="36"/>
        </w:rPr>
        <w:t xml:space="preserve"> Екатерины </w:t>
      </w:r>
      <w:proofErr w:type="spellStart"/>
      <w:r>
        <w:rPr>
          <w:rFonts w:ascii="Times New Roman" w:hAnsi="Times New Roman"/>
          <w:sz w:val="36"/>
          <w:szCs w:val="36"/>
        </w:rPr>
        <w:t>александровна</w:t>
      </w:r>
      <w:proofErr w:type="spellEnd"/>
    </w:p>
    <w:p w:rsidR="00C01324" w:rsidRPr="002D0354" w:rsidRDefault="00C01324" w:rsidP="00C01324">
      <w:pPr>
        <w:pStyle w:val="a5"/>
        <w:jc w:val="center"/>
        <w:rPr>
          <w:rFonts w:ascii="Times New Roman" w:hAnsi="Times New Roman"/>
          <w:b/>
          <w:sz w:val="36"/>
          <w:szCs w:val="36"/>
        </w:rPr>
      </w:pPr>
      <w:r>
        <w:rPr>
          <w:rFonts w:ascii="Times New Roman" w:hAnsi="Times New Roman"/>
          <w:sz w:val="36"/>
          <w:szCs w:val="36"/>
        </w:rPr>
        <w:t>(дебиторская задолженность)</w:t>
      </w:r>
      <w:r w:rsidRPr="002D0354">
        <w:rPr>
          <w:rFonts w:ascii="Times New Roman" w:hAnsi="Times New Roman"/>
          <w:sz w:val="36"/>
          <w:szCs w:val="36"/>
        </w:rPr>
        <w:t xml:space="preserve"> </w:t>
      </w:r>
    </w:p>
    <w:p w:rsidR="00C01324" w:rsidRDefault="00C01324" w:rsidP="00C01324">
      <w:pPr>
        <w:pStyle w:val="a5"/>
        <w:rPr>
          <w:rFonts w:ascii="Arial Black" w:hAnsi="Arial Black"/>
          <w:sz w:val="40"/>
          <w:szCs w:val="40"/>
        </w:rPr>
      </w:pPr>
    </w:p>
    <w:p w:rsidR="00C01324" w:rsidRDefault="00C01324" w:rsidP="00C01324">
      <w:pPr>
        <w:pStyle w:val="a5"/>
        <w:rPr>
          <w:rFonts w:ascii="Arial Black" w:hAnsi="Arial Black"/>
          <w:sz w:val="40"/>
          <w:szCs w:val="40"/>
        </w:rPr>
      </w:pPr>
    </w:p>
    <w:p w:rsidR="00C01324" w:rsidRDefault="00C01324" w:rsidP="00C01324">
      <w:pPr>
        <w:pStyle w:val="a5"/>
        <w:jc w:val="center"/>
        <w:rPr>
          <w:rFonts w:ascii="Times New Roman" w:hAnsi="Times New Roman"/>
          <w:sz w:val="28"/>
          <w:szCs w:val="28"/>
        </w:rPr>
      </w:pPr>
    </w:p>
    <w:p w:rsidR="00C01324" w:rsidRDefault="00C01324" w:rsidP="00C01324">
      <w:pPr>
        <w:pStyle w:val="a5"/>
        <w:jc w:val="center"/>
        <w:rPr>
          <w:rFonts w:ascii="Times New Roman" w:hAnsi="Times New Roman"/>
          <w:sz w:val="28"/>
          <w:szCs w:val="28"/>
        </w:rPr>
      </w:pPr>
    </w:p>
    <w:p w:rsidR="00C01324" w:rsidRDefault="00C01324" w:rsidP="00C01324">
      <w:pPr>
        <w:pStyle w:val="a5"/>
        <w:jc w:val="center"/>
        <w:rPr>
          <w:rFonts w:ascii="Times New Roman" w:hAnsi="Times New Roman"/>
          <w:sz w:val="28"/>
          <w:szCs w:val="28"/>
        </w:rPr>
      </w:pPr>
    </w:p>
    <w:p w:rsidR="00C01324" w:rsidRDefault="00C01324" w:rsidP="00C01324">
      <w:pPr>
        <w:pStyle w:val="a5"/>
        <w:ind w:left="3402"/>
        <w:jc w:val="right"/>
        <w:rPr>
          <w:rFonts w:ascii="Times New Roman" w:hAnsi="Times New Roman"/>
          <w:b/>
          <w:sz w:val="20"/>
          <w:szCs w:val="20"/>
        </w:rPr>
      </w:pPr>
    </w:p>
    <w:p w:rsidR="00C01324" w:rsidRPr="008A0BB5" w:rsidRDefault="00C01324" w:rsidP="00C01324">
      <w:pPr>
        <w:pStyle w:val="a5"/>
        <w:ind w:left="3402"/>
        <w:jc w:val="right"/>
        <w:rPr>
          <w:rFonts w:ascii="Times New Roman" w:hAnsi="Times New Roman"/>
          <w:b/>
          <w:sz w:val="20"/>
          <w:szCs w:val="20"/>
        </w:rPr>
      </w:pPr>
    </w:p>
    <w:p w:rsidR="00C01324" w:rsidRPr="008A0BB5" w:rsidRDefault="00C01324" w:rsidP="00C01324">
      <w:pPr>
        <w:pStyle w:val="a5"/>
        <w:ind w:left="3402"/>
        <w:jc w:val="right"/>
        <w:rPr>
          <w:rFonts w:ascii="Times New Roman" w:hAnsi="Times New Roman"/>
          <w:b/>
          <w:sz w:val="20"/>
          <w:szCs w:val="20"/>
        </w:rPr>
      </w:pPr>
    </w:p>
    <w:p w:rsidR="00BD0880" w:rsidRDefault="00BD0880" w:rsidP="00BD0880">
      <w:pPr>
        <w:pStyle w:val="a5"/>
        <w:jc w:val="center"/>
        <w:rPr>
          <w:rFonts w:ascii="Times New Roman" w:hAnsi="Times New Roman"/>
          <w:sz w:val="28"/>
          <w:szCs w:val="28"/>
        </w:rPr>
      </w:pPr>
    </w:p>
    <w:p w:rsidR="00BD0880" w:rsidRDefault="00BD0880" w:rsidP="00BD0880">
      <w:pPr>
        <w:pStyle w:val="a5"/>
        <w:jc w:val="center"/>
        <w:rPr>
          <w:rFonts w:ascii="Times New Roman" w:hAnsi="Times New Roman"/>
          <w:sz w:val="28"/>
          <w:szCs w:val="28"/>
        </w:rPr>
      </w:pPr>
    </w:p>
    <w:p w:rsidR="00BD0880" w:rsidRDefault="00BD0880" w:rsidP="00BD0880">
      <w:pPr>
        <w:pStyle w:val="a5"/>
        <w:ind w:left="3402"/>
        <w:jc w:val="right"/>
        <w:rPr>
          <w:rFonts w:ascii="Times New Roman" w:hAnsi="Times New Roman"/>
          <w:b/>
          <w:sz w:val="20"/>
          <w:szCs w:val="20"/>
        </w:rPr>
      </w:pPr>
    </w:p>
    <w:p w:rsidR="00BD0880" w:rsidRPr="008A0BB5" w:rsidRDefault="00BD0880" w:rsidP="00BD0880">
      <w:pPr>
        <w:pStyle w:val="a5"/>
        <w:ind w:left="3402"/>
        <w:jc w:val="right"/>
        <w:rPr>
          <w:rFonts w:ascii="Times New Roman" w:hAnsi="Times New Roman"/>
          <w:b/>
          <w:sz w:val="20"/>
          <w:szCs w:val="20"/>
        </w:rPr>
      </w:pPr>
    </w:p>
    <w:p w:rsidR="00BD0880" w:rsidRPr="008A0BB5" w:rsidRDefault="00BD0880" w:rsidP="00BD0880">
      <w:pPr>
        <w:pStyle w:val="a5"/>
        <w:ind w:left="3402"/>
        <w:jc w:val="right"/>
        <w:rPr>
          <w:rFonts w:ascii="Times New Roman" w:hAnsi="Times New Roman"/>
          <w:b/>
          <w:sz w:val="20"/>
          <w:szCs w:val="20"/>
        </w:rPr>
      </w:pPr>
    </w:p>
    <w:p w:rsidR="000B45C8" w:rsidRPr="000B45C8" w:rsidRDefault="000B45C8" w:rsidP="000B45C8">
      <w:pPr>
        <w:spacing w:after="2" w:line="257" w:lineRule="auto"/>
        <w:ind w:left="10" w:right="-15" w:hanging="10"/>
        <w:jc w:val="right"/>
        <w:rPr>
          <w:color w:val="000000"/>
          <w:szCs w:val="22"/>
        </w:rPr>
      </w:pPr>
      <w:r w:rsidRPr="000B45C8">
        <w:rPr>
          <w:b/>
          <w:color w:val="000000"/>
          <w:szCs w:val="22"/>
        </w:rPr>
        <w:t xml:space="preserve">Арбитражный суд Ульяновской области </w:t>
      </w:r>
      <w:r w:rsidRPr="000B45C8">
        <w:rPr>
          <w:color w:val="000000"/>
          <w:szCs w:val="22"/>
        </w:rPr>
        <w:t xml:space="preserve">                                                                           432017, г. Ульяновск, ул. Железнодорожная, 14 </w:t>
      </w:r>
    </w:p>
    <w:p w:rsidR="000B45C8" w:rsidRPr="000B45C8" w:rsidRDefault="000B45C8" w:rsidP="000B45C8">
      <w:pPr>
        <w:spacing w:after="10" w:line="271" w:lineRule="auto"/>
        <w:ind w:left="7028" w:hanging="242"/>
        <w:jc w:val="both"/>
        <w:rPr>
          <w:color w:val="000000"/>
          <w:szCs w:val="22"/>
        </w:rPr>
      </w:pPr>
      <w:r w:rsidRPr="000B45C8">
        <w:rPr>
          <w:color w:val="000000"/>
          <w:szCs w:val="22"/>
        </w:rPr>
        <w:t xml:space="preserve">Дело </w:t>
      </w:r>
      <w:r w:rsidRPr="000B45C8">
        <w:rPr>
          <w:b/>
          <w:color w:val="000000"/>
          <w:szCs w:val="22"/>
        </w:rPr>
        <w:t>№ А 72-13447/2021</w:t>
      </w:r>
      <w:r w:rsidRPr="000B45C8">
        <w:rPr>
          <w:color w:val="000000"/>
          <w:szCs w:val="22"/>
        </w:rPr>
        <w:t xml:space="preserve"> Судья: </w:t>
      </w:r>
      <w:proofErr w:type="spellStart"/>
      <w:r w:rsidRPr="000B45C8">
        <w:rPr>
          <w:b/>
          <w:color w:val="000000"/>
          <w:szCs w:val="22"/>
        </w:rPr>
        <w:t>Клочкова</w:t>
      </w:r>
      <w:proofErr w:type="spellEnd"/>
      <w:r w:rsidRPr="000B45C8">
        <w:rPr>
          <w:b/>
          <w:color w:val="000000"/>
          <w:szCs w:val="22"/>
        </w:rPr>
        <w:t xml:space="preserve"> С.Г.</w:t>
      </w:r>
      <w:r w:rsidRPr="000B45C8">
        <w:rPr>
          <w:color w:val="000000"/>
          <w:szCs w:val="22"/>
        </w:rPr>
        <w:t xml:space="preserve"> </w:t>
      </w:r>
    </w:p>
    <w:p w:rsidR="00BD0880" w:rsidRPr="005523D4" w:rsidRDefault="00BD0880" w:rsidP="00BD0880">
      <w:pPr>
        <w:jc w:val="center"/>
        <w:rPr>
          <w:b/>
          <w:shd w:val="clear" w:color="auto" w:fill="FFFFFF"/>
        </w:rPr>
      </w:pPr>
    </w:p>
    <w:p w:rsidR="00BD0880" w:rsidRPr="008F0E9F" w:rsidRDefault="00BD0880" w:rsidP="000B45C8">
      <w:pPr>
        <w:pStyle w:val="a7"/>
        <w:spacing w:before="0" w:beforeAutospacing="0" w:after="0" w:afterAutospacing="0"/>
        <w:ind w:firstLine="0"/>
        <w:jc w:val="right"/>
      </w:pPr>
      <w:r w:rsidRPr="005523D4">
        <w:rPr>
          <w:b/>
        </w:rPr>
        <w:t xml:space="preserve">Должник: </w:t>
      </w:r>
      <w:r w:rsidR="000B45C8">
        <w:rPr>
          <w:b/>
        </w:rPr>
        <w:t>Султанова Екатерина Александровна</w:t>
      </w:r>
    </w:p>
    <w:p w:rsidR="00BD0880" w:rsidRDefault="000B45C8" w:rsidP="00BD0880">
      <w:pPr>
        <w:pStyle w:val="a5"/>
        <w:ind w:left="3402"/>
        <w:jc w:val="right"/>
        <w:rPr>
          <w:rFonts w:ascii="Times New Roman" w:hAnsi="Times New Roman"/>
          <w:sz w:val="24"/>
          <w:szCs w:val="24"/>
        </w:rPr>
      </w:pPr>
      <w:r w:rsidRPr="000B45C8">
        <w:rPr>
          <w:rFonts w:ascii="Times New Roman" w:hAnsi="Times New Roman"/>
          <w:sz w:val="24"/>
          <w:szCs w:val="24"/>
        </w:rPr>
        <w:t>ИНН731501366038 СНИЛС 069-197641 15</w:t>
      </w:r>
    </w:p>
    <w:p w:rsidR="000B45C8" w:rsidRPr="000B45C8" w:rsidRDefault="000B45C8" w:rsidP="00BD0880">
      <w:pPr>
        <w:pStyle w:val="a5"/>
        <w:ind w:left="3402"/>
        <w:jc w:val="right"/>
        <w:rPr>
          <w:rFonts w:ascii="Times New Roman" w:hAnsi="Times New Roman"/>
          <w:b/>
          <w:sz w:val="24"/>
          <w:szCs w:val="24"/>
        </w:rPr>
      </w:pPr>
    </w:p>
    <w:p w:rsidR="00BD0880" w:rsidRPr="005523D4" w:rsidRDefault="000B45C8" w:rsidP="00BD0880">
      <w:pPr>
        <w:pStyle w:val="a5"/>
        <w:ind w:left="3402"/>
        <w:jc w:val="right"/>
        <w:rPr>
          <w:rFonts w:ascii="Times New Roman" w:hAnsi="Times New Roman"/>
          <w:b/>
          <w:sz w:val="24"/>
          <w:szCs w:val="24"/>
        </w:rPr>
      </w:pPr>
      <w:r>
        <w:rPr>
          <w:rFonts w:ascii="Times New Roman" w:hAnsi="Times New Roman"/>
          <w:b/>
          <w:sz w:val="24"/>
          <w:szCs w:val="24"/>
        </w:rPr>
        <w:t>Финансовый</w:t>
      </w:r>
      <w:r w:rsidR="00BD0880" w:rsidRPr="005523D4">
        <w:rPr>
          <w:rFonts w:ascii="Times New Roman" w:hAnsi="Times New Roman"/>
          <w:b/>
          <w:sz w:val="24"/>
          <w:szCs w:val="24"/>
        </w:rPr>
        <w:t xml:space="preserve"> управляющий: </w:t>
      </w:r>
      <w:proofErr w:type="spellStart"/>
      <w:r>
        <w:rPr>
          <w:rFonts w:ascii="Times New Roman" w:hAnsi="Times New Roman"/>
          <w:b/>
          <w:sz w:val="24"/>
          <w:szCs w:val="24"/>
        </w:rPr>
        <w:t>Панечкина</w:t>
      </w:r>
      <w:proofErr w:type="spellEnd"/>
      <w:r>
        <w:rPr>
          <w:rFonts w:ascii="Times New Roman" w:hAnsi="Times New Roman"/>
          <w:b/>
          <w:sz w:val="24"/>
          <w:szCs w:val="24"/>
        </w:rPr>
        <w:t xml:space="preserve"> О.П</w:t>
      </w:r>
      <w:r w:rsidR="00BD0880" w:rsidRPr="005523D4">
        <w:rPr>
          <w:rFonts w:ascii="Times New Roman" w:hAnsi="Times New Roman"/>
          <w:b/>
          <w:sz w:val="24"/>
          <w:szCs w:val="24"/>
        </w:rPr>
        <w:t>.</w:t>
      </w:r>
    </w:p>
    <w:p w:rsidR="000B45C8" w:rsidRDefault="000B45C8" w:rsidP="000B45C8">
      <w:pPr>
        <w:ind w:firstLine="708"/>
        <w:jc w:val="right"/>
        <w:rPr>
          <w:szCs w:val="24"/>
        </w:rPr>
      </w:pPr>
      <w:r>
        <w:rPr>
          <w:szCs w:val="24"/>
        </w:rPr>
        <w:t xml:space="preserve"> </w:t>
      </w:r>
      <w:r w:rsidRPr="00FC0F1D">
        <w:rPr>
          <w:szCs w:val="24"/>
        </w:rPr>
        <w:t>ИНН 5201</w:t>
      </w:r>
      <w:r>
        <w:rPr>
          <w:szCs w:val="24"/>
        </w:rPr>
        <w:t xml:space="preserve">00032605, СНИЛС 029-832-745-83, </w:t>
      </w:r>
      <w:r w:rsidRPr="00FC0F1D">
        <w:rPr>
          <w:szCs w:val="24"/>
        </w:rPr>
        <w:t>почт.</w:t>
      </w:r>
      <w:r>
        <w:rPr>
          <w:szCs w:val="24"/>
        </w:rPr>
        <w:t xml:space="preserve"> </w:t>
      </w:r>
    </w:p>
    <w:p w:rsidR="000B45C8" w:rsidRDefault="000B45C8" w:rsidP="000B45C8">
      <w:pPr>
        <w:ind w:firstLine="708"/>
        <w:jc w:val="right"/>
        <w:rPr>
          <w:szCs w:val="24"/>
        </w:rPr>
      </w:pPr>
      <w:r w:rsidRPr="00FC0F1D">
        <w:rPr>
          <w:szCs w:val="24"/>
        </w:rPr>
        <w:t>432013, г.</w:t>
      </w:r>
      <w:r>
        <w:rPr>
          <w:szCs w:val="24"/>
        </w:rPr>
        <w:t xml:space="preserve"> </w:t>
      </w:r>
      <w:r w:rsidRPr="00FC0F1D">
        <w:rPr>
          <w:szCs w:val="24"/>
        </w:rPr>
        <w:t>Ульяновс</w:t>
      </w:r>
      <w:r>
        <w:rPr>
          <w:szCs w:val="24"/>
        </w:rPr>
        <w:t>к ул. Промышленная д.59А оф.315</w:t>
      </w:r>
      <w:r w:rsidRPr="000B45C8">
        <w:rPr>
          <w:szCs w:val="24"/>
        </w:rPr>
        <w:t xml:space="preserve"> </w:t>
      </w:r>
    </w:p>
    <w:p w:rsidR="00BD0880" w:rsidRPr="005523D4" w:rsidRDefault="000B45C8" w:rsidP="000B45C8">
      <w:pPr>
        <w:ind w:firstLine="708"/>
        <w:jc w:val="right"/>
        <w:rPr>
          <w:b/>
          <w:szCs w:val="24"/>
        </w:rPr>
      </w:pPr>
      <w:r>
        <w:rPr>
          <w:szCs w:val="24"/>
        </w:rPr>
        <w:t xml:space="preserve"> СРО СОЮЗ «СРО «</w:t>
      </w:r>
      <w:proofErr w:type="gramStart"/>
      <w:r>
        <w:rPr>
          <w:szCs w:val="24"/>
        </w:rPr>
        <w:t>ГАУ»</w:t>
      </w:r>
      <w:r>
        <w:rPr>
          <w:bCs/>
          <w:szCs w:val="24"/>
        </w:rPr>
        <w:t>ИНН</w:t>
      </w:r>
      <w:proofErr w:type="gramEnd"/>
      <w:r>
        <w:rPr>
          <w:bCs/>
          <w:szCs w:val="24"/>
        </w:rPr>
        <w:t xml:space="preserve"> 1660062005, </w:t>
      </w:r>
      <w:r w:rsidRPr="00FC0F1D">
        <w:rPr>
          <w:bCs/>
          <w:szCs w:val="24"/>
        </w:rPr>
        <w:t>ОГРН 1021603626098</w:t>
      </w:r>
      <w:r>
        <w:t xml:space="preserve"> </w:t>
      </w:r>
    </w:p>
    <w:p w:rsidR="00BD0880" w:rsidRDefault="00BD0880" w:rsidP="00BD0880">
      <w:pPr>
        <w:pStyle w:val="a5"/>
        <w:jc w:val="center"/>
        <w:rPr>
          <w:rFonts w:ascii="Times New Roman" w:hAnsi="Times New Roman"/>
          <w:sz w:val="28"/>
          <w:szCs w:val="28"/>
        </w:rPr>
      </w:pPr>
    </w:p>
    <w:p w:rsidR="00C01324" w:rsidRPr="008835EE" w:rsidRDefault="00C01324" w:rsidP="00C01324">
      <w:pPr>
        <w:pStyle w:val="a5"/>
        <w:jc w:val="right"/>
        <w:rPr>
          <w:rFonts w:ascii="Times New Roman" w:hAnsi="Times New Roman"/>
          <w:b/>
          <w:sz w:val="24"/>
          <w:szCs w:val="24"/>
        </w:rPr>
      </w:pPr>
    </w:p>
    <w:p w:rsidR="00C01324" w:rsidRPr="008835EE" w:rsidRDefault="00C01324" w:rsidP="00C01324">
      <w:pPr>
        <w:pStyle w:val="a5"/>
        <w:jc w:val="right"/>
        <w:rPr>
          <w:rFonts w:ascii="Times New Roman" w:hAnsi="Times New Roman"/>
          <w:b/>
          <w:sz w:val="24"/>
          <w:szCs w:val="24"/>
        </w:rPr>
      </w:pPr>
    </w:p>
    <w:p w:rsidR="00C01324" w:rsidRPr="008835EE" w:rsidRDefault="00C01324" w:rsidP="00C01324">
      <w:pPr>
        <w:pStyle w:val="a5"/>
        <w:jc w:val="right"/>
        <w:rPr>
          <w:rFonts w:ascii="Times New Roman" w:hAnsi="Times New Roman"/>
          <w:b/>
          <w:sz w:val="24"/>
          <w:szCs w:val="24"/>
        </w:rPr>
      </w:pPr>
    </w:p>
    <w:p w:rsidR="00725B1C" w:rsidRDefault="00C01324" w:rsidP="00C01324">
      <w:pPr>
        <w:pStyle w:val="a5"/>
        <w:jc w:val="center"/>
        <w:rPr>
          <w:rFonts w:ascii="Times New Roman" w:hAnsi="Times New Roman"/>
          <w:b/>
          <w:sz w:val="24"/>
          <w:szCs w:val="24"/>
        </w:rPr>
      </w:pPr>
      <w:r w:rsidRPr="008835EE">
        <w:rPr>
          <w:rFonts w:ascii="Times New Roman" w:hAnsi="Times New Roman"/>
          <w:b/>
          <w:sz w:val="24"/>
          <w:szCs w:val="24"/>
        </w:rPr>
        <w:t xml:space="preserve">г. Ульяновск, </w:t>
      </w:r>
    </w:p>
    <w:p w:rsidR="00C01324" w:rsidRDefault="004F72AA" w:rsidP="00C01324">
      <w:pPr>
        <w:pStyle w:val="a5"/>
        <w:jc w:val="center"/>
        <w:rPr>
          <w:rFonts w:ascii="Times New Roman" w:hAnsi="Times New Roman"/>
          <w:sz w:val="28"/>
          <w:szCs w:val="28"/>
        </w:rPr>
      </w:pPr>
      <w:r w:rsidRPr="004F72AA">
        <w:rPr>
          <w:rFonts w:ascii="Times New Roman" w:hAnsi="Times New Roman"/>
          <w:b/>
          <w:sz w:val="24"/>
          <w:szCs w:val="24"/>
        </w:rPr>
        <w:t>27</w:t>
      </w:r>
      <w:r w:rsidR="003D6040" w:rsidRPr="004F72AA">
        <w:rPr>
          <w:rFonts w:ascii="Times New Roman" w:hAnsi="Times New Roman"/>
          <w:b/>
          <w:sz w:val="24"/>
          <w:szCs w:val="24"/>
        </w:rPr>
        <w:t>.</w:t>
      </w:r>
      <w:r w:rsidRPr="004F72AA">
        <w:rPr>
          <w:rFonts w:ascii="Times New Roman" w:hAnsi="Times New Roman"/>
          <w:b/>
          <w:sz w:val="24"/>
          <w:szCs w:val="24"/>
        </w:rPr>
        <w:t>03</w:t>
      </w:r>
      <w:r w:rsidR="003D6040" w:rsidRPr="004F72AA">
        <w:rPr>
          <w:rFonts w:ascii="Times New Roman" w:hAnsi="Times New Roman"/>
          <w:b/>
          <w:sz w:val="24"/>
          <w:szCs w:val="24"/>
        </w:rPr>
        <w:t>.</w:t>
      </w:r>
      <w:r w:rsidRPr="004F72AA">
        <w:rPr>
          <w:rFonts w:ascii="Times New Roman" w:hAnsi="Times New Roman"/>
          <w:b/>
          <w:sz w:val="24"/>
          <w:szCs w:val="24"/>
        </w:rPr>
        <w:t>2025г</w:t>
      </w:r>
      <w:bookmarkStart w:id="0" w:name="_GoBack"/>
      <w:bookmarkEnd w:id="0"/>
    </w:p>
    <w:p w:rsidR="00C01324" w:rsidRDefault="00C01324" w:rsidP="00C01324">
      <w:pPr>
        <w:pStyle w:val="a5"/>
        <w:jc w:val="center"/>
        <w:rPr>
          <w:rFonts w:ascii="Times New Roman" w:hAnsi="Times New Roman"/>
          <w:sz w:val="28"/>
          <w:szCs w:val="28"/>
        </w:rPr>
      </w:pPr>
    </w:p>
    <w:p w:rsidR="000B45C8" w:rsidRDefault="000B45C8" w:rsidP="00822FC1">
      <w:pPr>
        <w:pStyle w:val="a5"/>
        <w:ind w:left="1080"/>
        <w:jc w:val="center"/>
        <w:rPr>
          <w:rFonts w:ascii="Times New Roman" w:hAnsi="Times New Roman"/>
          <w:b/>
          <w:sz w:val="28"/>
          <w:szCs w:val="28"/>
        </w:rPr>
      </w:pPr>
    </w:p>
    <w:p w:rsidR="000B45C8" w:rsidRDefault="000B45C8" w:rsidP="00822FC1">
      <w:pPr>
        <w:pStyle w:val="a5"/>
        <w:ind w:left="1080"/>
        <w:jc w:val="center"/>
        <w:rPr>
          <w:rFonts w:ascii="Times New Roman" w:hAnsi="Times New Roman"/>
          <w:b/>
          <w:sz w:val="28"/>
          <w:szCs w:val="28"/>
        </w:rPr>
      </w:pPr>
    </w:p>
    <w:p w:rsidR="00C01324" w:rsidRDefault="00C01324" w:rsidP="00822FC1">
      <w:pPr>
        <w:pStyle w:val="a5"/>
        <w:ind w:left="1080"/>
        <w:jc w:val="center"/>
        <w:rPr>
          <w:rFonts w:ascii="Times New Roman" w:hAnsi="Times New Roman"/>
          <w:b/>
          <w:sz w:val="28"/>
          <w:szCs w:val="28"/>
        </w:rPr>
      </w:pPr>
      <w:r w:rsidRPr="00D85679">
        <w:rPr>
          <w:rFonts w:ascii="Times New Roman" w:hAnsi="Times New Roman"/>
          <w:b/>
          <w:sz w:val="28"/>
          <w:szCs w:val="28"/>
        </w:rPr>
        <w:lastRenderedPageBreak/>
        <w:t>Общие положения</w:t>
      </w:r>
    </w:p>
    <w:p w:rsidR="007B76E5" w:rsidRPr="009A7F0B" w:rsidRDefault="007B76E5" w:rsidP="007B76E5">
      <w:pPr>
        <w:pStyle w:val="a5"/>
        <w:ind w:left="1080"/>
        <w:rPr>
          <w:rFonts w:ascii="Times New Roman" w:hAnsi="Times New Roman"/>
          <w:b/>
          <w:sz w:val="28"/>
          <w:szCs w:val="28"/>
        </w:rPr>
      </w:pPr>
    </w:p>
    <w:p w:rsidR="000B45C8" w:rsidRDefault="00BD0880" w:rsidP="00BD0880">
      <w:pPr>
        <w:pStyle w:val="ConsPlusNormal"/>
        <w:ind w:firstLine="567"/>
        <w:jc w:val="both"/>
        <w:rPr>
          <w:bCs/>
        </w:rPr>
      </w:pPr>
      <w:r w:rsidRPr="00FF390A">
        <w:rPr>
          <w:bCs/>
        </w:rPr>
        <w:t>1.1. Полное наименование и местонахождение должника:</w:t>
      </w:r>
      <w:r w:rsidRPr="00983321">
        <w:rPr>
          <w:bCs/>
        </w:rPr>
        <w:t xml:space="preserve"> </w:t>
      </w:r>
      <w:r w:rsidR="000B45C8">
        <w:rPr>
          <w:b/>
          <w:bCs/>
        </w:rPr>
        <w:t>Султанова Екатерина Александровна</w:t>
      </w:r>
      <w:r w:rsidR="000B45C8" w:rsidRPr="00C10463">
        <w:t xml:space="preserve"> (</w:t>
      </w:r>
      <w:r w:rsidR="000B45C8">
        <w:t>02.05.1982</w:t>
      </w:r>
      <w:r w:rsidR="000B45C8" w:rsidRPr="004C7A4A">
        <w:t xml:space="preserve"> года рождения, паспорт серия 73 </w:t>
      </w:r>
      <w:r w:rsidR="000B45C8">
        <w:t>04</w:t>
      </w:r>
      <w:r w:rsidR="000B45C8" w:rsidRPr="004C7A4A">
        <w:t xml:space="preserve"> №</w:t>
      </w:r>
      <w:r w:rsidR="000B45C8">
        <w:t xml:space="preserve"> 239080</w:t>
      </w:r>
      <w:r w:rsidR="000B45C8" w:rsidRPr="004C7A4A">
        <w:t xml:space="preserve">, выдан </w:t>
      </w:r>
      <w:r w:rsidR="000B45C8">
        <w:t>Отделом Внутренних дел Радищевского района Ульяновской области, код подразделения 732-017</w:t>
      </w:r>
      <w:r w:rsidR="000B45C8" w:rsidRPr="004C7A4A">
        <w:t xml:space="preserve">, дата выдачи </w:t>
      </w:r>
      <w:r w:rsidR="000B45C8">
        <w:t xml:space="preserve">22.09.2004 </w:t>
      </w:r>
      <w:r w:rsidR="000B45C8" w:rsidRPr="004C7A4A">
        <w:t xml:space="preserve">г., адрес регистрации: </w:t>
      </w:r>
      <w:r w:rsidR="000B45C8">
        <w:t>432032, Ульяновская обл., г. Ульяновск</w:t>
      </w:r>
      <w:r w:rsidR="000B45C8" w:rsidRPr="004C7A4A">
        <w:rPr>
          <w:shd w:val="clear" w:color="auto" w:fill="FFFFFF"/>
        </w:rPr>
        <w:t>,</w:t>
      </w:r>
      <w:r w:rsidR="000B45C8">
        <w:rPr>
          <w:shd w:val="clear" w:color="auto" w:fill="FFFFFF"/>
        </w:rPr>
        <w:t xml:space="preserve"> ул. </w:t>
      </w:r>
      <w:proofErr w:type="spellStart"/>
      <w:r w:rsidR="000B45C8">
        <w:rPr>
          <w:shd w:val="clear" w:color="auto" w:fill="FFFFFF"/>
        </w:rPr>
        <w:t>Полбина</w:t>
      </w:r>
      <w:proofErr w:type="spellEnd"/>
      <w:r w:rsidR="000B45C8">
        <w:rPr>
          <w:shd w:val="clear" w:color="auto" w:fill="FFFFFF"/>
        </w:rPr>
        <w:t>, д. 44А</w:t>
      </w:r>
      <w:r w:rsidR="000B45C8" w:rsidRPr="00C10463">
        <w:t xml:space="preserve">; ИНН </w:t>
      </w:r>
      <w:r w:rsidR="000B45C8">
        <w:t>731501366038</w:t>
      </w:r>
      <w:r w:rsidR="000B45C8" w:rsidRPr="00C10463">
        <w:t xml:space="preserve">, СНИЛС </w:t>
      </w:r>
      <w:r w:rsidR="000B45C8">
        <w:t>069-197-641-15</w:t>
      </w:r>
    </w:p>
    <w:p w:rsidR="00BD0880" w:rsidRPr="000B45C8" w:rsidRDefault="00BD0880" w:rsidP="000B45C8">
      <w:pPr>
        <w:tabs>
          <w:tab w:val="left" w:pos="5400"/>
        </w:tabs>
        <w:ind w:firstLine="510"/>
        <w:jc w:val="both"/>
        <w:rPr>
          <w:szCs w:val="24"/>
        </w:rPr>
      </w:pPr>
      <w:r w:rsidRPr="00FF390A">
        <w:rPr>
          <w:bCs/>
        </w:rPr>
        <w:t>1.2. Фамилия, имя, отчество арбитражного управляющего, наименование и местонахождение саморегулируемой организации арбитражных управляющих, членом которой он является:</w:t>
      </w:r>
      <w:r w:rsidRPr="00983321">
        <w:rPr>
          <w:bCs/>
        </w:rPr>
        <w:t xml:space="preserve"> </w:t>
      </w:r>
      <w:proofErr w:type="spellStart"/>
      <w:r w:rsidR="000B45C8" w:rsidRPr="00FC0F1D">
        <w:rPr>
          <w:szCs w:val="24"/>
        </w:rPr>
        <w:t>Панечкина</w:t>
      </w:r>
      <w:proofErr w:type="spellEnd"/>
      <w:r w:rsidR="000B45C8" w:rsidRPr="00FC0F1D">
        <w:rPr>
          <w:szCs w:val="24"/>
        </w:rPr>
        <w:t xml:space="preserve"> Ольга Павловна (ИНН 5201</w:t>
      </w:r>
      <w:r w:rsidR="000B45C8">
        <w:rPr>
          <w:szCs w:val="24"/>
        </w:rPr>
        <w:t xml:space="preserve">00032605, СНИЛС 029-832-745-83, </w:t>
      </w:r>
      <w:r w:rsidR="000B45C8" w:rsidRPr="00FC0F1D">
        <w:rPr>
          <w:szCs w:val="24"/>
        </w:rPr>
        <w:t>почт.</w:t>
      </w:r>
      <w:r w:rsidR="000B45C8">
        <w:rPr>
          <w:szCs w:val="24"/>
        </w:rPr>
        <w:t xml:space="preserve"> </w:t>
      </w:r>
      <w:r w:rsidR="000B45C8" w:rsidRPr="00FC0F1D">
        <w:rPr>
          <w:szCs w:val="24"/>
        </w:rPr>
        <w:t>адрес:432013, г.</w:t>
      </w:r>
      <w:r w:rsidR="000B45C8">
        <w:rPr>
          <w:szCs w:val="24"/>
        </w:rPr>
        <w:t xml:space="preserve"> </w:t>
      </w:r>
      <w:r w:rsidR="000B45C8" w:rsidRPr="00FC0F1D">
        <w:rPr>
          <w:szCs w:val="24"/>
        </w:rPr>
        <w:t xml:space="preserve">Ульяновск ул. Промышленная д.59А оф.315), член СРО СОЮЗ «СРО «ГАУ», (420111, РТ, г. Казань, а/я 370, </w:t>
      </w:r>
      <w:r w:rsidR="000B45C8">
        <w:rPr>
          <w:bCs/>
          <w:szCs w:val="24"/>
        </w:rPr>
        <w:t xml:space="preserve">ИНН 1660062005, </w:t>
      </w:r>
      <w:r w:rsidR="000B45C8" w:rsidRPr="00FC0F1D">
        <w:rPr>
          <w:bCs/>
          <w:szCs w:val="24"/>
        </w:rPr>
        <w:t>ОГРН 1021603626098</w:t>
      </w:r>
      <w:r w:rsidR="000B45C8" w:rsidRPr="00FC0F1D">
        <w:rPr>
          <w:szCs w:val="24"/>
        </w:rPr>
        <w:t>).</w:t>
      </w:r>
    </w:p>
    <w:p w:rsidR="00BD0880" w:rsidRPr="00FF390A" w:rsidRDefault="00BD0880" w:rsidP="00BD0880">
      <w:pPr>
        <w:pStyle w:val="ConsPlusNormal"/>
        <w:ind w:firstLine="567"/>
        <w:jc w:val="both"/>
      </w:pPr>
      <w:r w:rsidRPr="00FF390A">
        <w:rPr>
          <w:bCs/>
        </w:rPr>
        <w:t>1.3. Наименование арбитражного суда, в производстве которого находится дело о несостоятельности (банкротстве) должника, номер дела и дата судебного акта о введении в отношении должника процедуры банкротства:</w:t>
      </w:r>
      <w:r w:rsidR="000B45C8" w:rsidRPr="000B45C8">
        <w:t xml:space="preserve"> </w:t>
      </w:r>
      <w:r w:rsidR="000B45C8">
        <w:t>Решением Арбитражного с</w:t>
      </w:r>
      <w:r w:rsidR="000B45C8" w:rsidRPr="00C10463">
        <w:t>уда Ульян</w:t>
      </w:r>
      <w:r w:rsidR="000B45C8">
        <w:t>овской области (рез. часть от 11.11.2021 г.) по делу А72-13447</w:t>
      </w:r>
      <w:r w:rsidR="000B45C8" w:rsidRPr="00C10463">
        <w:t>/2021</w:t>
      </w:r>
      <w:r w:rsidRPr="00FF390A">
        <w:rPr>
          <w:bCs/>
        </w:rPr>
        <w:t xml:space="preserve"> </w:t>
      </w:r>
      <w:r w:rsidR="000B45C8">
        <w:rPr>
          <w:b/>
          <w:bCs/>
        </w:rPr>
        <w:t>Султанова Екатерина Александровна</w:t>
      </w:r>
      <w:r w:rsidR="000B45C8" w:rsidRPr="00C10463">
        <w:t xml:space="preserve"> (</w:t>
      </w:r>
      <w:r w:rsidR="000B45C8">
        <w:t>02.05.1982</w:t>
      </w:r>
      <w:r w:rsidR="000B45C8" w:rsidRPr="004C7A4A">
        <w:t xml:space="preserve"> года рождения, паспорт серия 73 </w:t>
      </w:r>
      <w:r w:rsidR="000B45C8">
        <w:t>04</w:t>
      </w:r>
      <w:r w:rsidR="000B45C8" w:rsidRPr="004C7A4A">
        <w:t xml:space="preserve"> №</w:t>
      </w:r>
      <w:r w:rsidR="000B45C8">
        <w:t xml:space="preserve"> 239080</w:t>
      </w:r>
      <w:r w:rsidR="000B45C8" w:rsidRPr="004C7A4A">
        <w:t xml:space="preserve">, выдан </w:t>
      </w:r>
      <w:r w:rsidR="000B45C8">
        <w:t>Отделом Внутренних дел Радищевского района Ульяновской области, код подразделения 732-017</w:t>
      </w:r>
      <w:r w:rsidR="000B45C8" w:rsidRPr="004C7A4A">
        <w:t xml:space="preserve">, дата выдачи </w:t>
      </w:r>
      <w:r w:rsidR="000B45C8">
        <w:t xml:space="preserve">22.09.2004 </w:t>
      </w:r>
      <w:r w:rsidR="000B45C8" w:rsidRPr="004C7A4A">
        <w:t xml:space="preserve">г., адрес регистрации: </w:t>
      </w:r>
      <w:r w:rsidR="000B45C8">
        <w:t>432032, Ульяновская обл., г. Ульяновск</w:t>
      </w:r>
      <w:r w:rsidR="000B45C8" w:rsidRPr="004C7A4A">
        <w:rPr>
          <w:shd w:val="clear" w:color="auto" w:fill="FFFFFF"/>
        </w:rPr>
        <w:t>,</w:t>
      </w:r>
      <w:r w:rsidR="000B45C8">
        <w:rPr>
          <w:shd w:val="clear" w:color="auto" w:fill="FFFFFF"/>
        </w:rPr>
        <w:t xml:space="preserve"> ул. </w:t>
      </w:r>
      <w:proofErr w:type="spellStart"/>
      <w:r w:rsidR="000B45C8">
        <w:rPr>
          <w:shd w:val="clear" w:color="auto" w:fill="FFFFFF"/>
        </w:rPr>
        <w:t>Полбина</w:t>
      </w:r>
      <w:proofErr w:type="spellEnd"/>
      <w:r w:rsidR="000B45C8">
        <w:rPr>
          <w:shd w:val="clear" w:color="auto" w:fill="FFFFFF"/>
        </w:rPr>
        <w:t>, д. 44А</w:t>
      </w:r>
      <w:r w:rsidR="000B45C8" w:rsidRPr="00C10463">
        <w:t xml:space="preserve">; ИНН </w:t>
      </w:r>
      <w:r w:rsidR="000B45C8">
        <w:t>731501366038</w:t>
      </w:r>
      <w:r w:rsidR="000B45C8" w:rsidRPr="00C10463">
        <w:t xml:space="preserve">, СНИЛС </w:t>
      </w:r>
      <w:r w:rsidR="000B45C8">
        <w:t>069-197-641-15</w:t>
      </w:r>
      <w:r w:rsidR="000B45C8" w:rsidRPr="00C10463">
        <w:t>), признан несостоятельным (банкротом), в отношении него введена процедура реализации имущества</w:t>
      </w:r>
      <w:r w:rsidR="000B45C8" w:rsidRPr="00FC0F1D">
        <w:t xml:space="preserve"> гражданина сроком на </w:t>
      </w:r>
      <w:r w:rsidR="000B45C8">
        <w:t>5</w:t>
      </w:r>
      <w:r w:rsidR="000B45C8" w:rsidRPr="00FC0F1D">
        <w:t xml:space="preserve"> месяц</w:t>
      </w:r>
      <w:r w:rsidR="000B45C8">
        <w:t>ев</w:t>
      </w:r>
      <w:r w:rsidR="000B45C8" w:rsidRPr="00FC0F1D">
        <w:t>.</w:t>
      </w:r>
    </w:p>
    <w:p w:rsidR="00822FC1" w:rsidRPr="0093071A" w:rsidRDefault="00822FC1" w:rsidP="00822FC1">
      <w:pPr>
        <w:pStyle w:val="ConsPlusNormal"/>
        <w:ind w:firstLine="567"/>
        <w:jc w:val="both"/>
      </w:pPr>
      <w:r w:rsidRPr="0093071A">
        <w:rPr>
          <w:bCs/>
        </w:rPr>
        <w:t>Решение об оценке имущества гражданина</w:t>
      </w:r>
      <w:r w:rsidRPr="0093071A">
        <w:t xml:space="preserve"> (далее – Решение об оценке) составлено в соответствии с ФЗ от 29.07.1998г. №135-ФЗ «Об оценочной деятельности в Российской Федерации» (далее – Закон об оценке).</w:t>
      </w:r>
    </w:p>
    <w:p w:rsidR="00822FC1" w:rsidRPr="0093071A" w:rsidRDefault="00822FC1" w:rsidP="00822FC1">
      <w:pPr>
        <w:pStyle w:val="ConsPlusNormal"/>
        <w:ind w:firstLine="567"/>
        <w:jc w:val="both"/>
      </w:pPr>
      <w:r w:rsidRPr="0093071A">
        <w:t xml:space="preserve">Применяемые стандарты оценки: Федеральный </w:t>
      </w:r>
      <w:hyperlink r:id="rId5" w:anchor="P25" w:history="1">
        <w:r w:rsidRPr="0093071A">
          <w:rPr>
            <w:rStyle w:val="a6"/>
            <w:rFonts w:eastAsiaTheme="majorEastAsia"/>
            <w:color w:val="auto"/>
          </w:rPr>
          <w:t>стандарт</w:t>
        </w:r>
      </w:hyperlink>
      <w:r w:rsidRPr="0093071A">
        <w:t xml:space="preserve"> оценки «Общие понятия оценки, подходы и требования к проведению оценки» (далее - ФСО №1), Федеральный </w:t>
      </w:r>
      <w:hyperlink r:id="rId6" w:anchor="P24" w:history="1">
        <w:r w:rsidRPr="0093071A">
          <w:rPr>
            <w:rStyle w:val="a6"/>
            <w:rFonts w:eastAsiaTheme="majorEastAsia"/>
            <w:color w:val="auto"/>
          </w:rPr>
          <w:t>стандарт</w:t>
        </w:r>
      </w:hyperlink>
      <w:r w:rsidRPr="0093071A">
        <w:t xml:space="preserve"> оценки «Цель оценки и виды стоимости» (далее - ФСО №2), Федеральный </w:t>
      </w:r>
      <w:hyperlink r:id="rId7" w:anchor="P24" w:history="1">
        <w:r w:rsidRPr="0093071A">
          <w:rPr>
            <w:rStyle w:val="a6"/>
            <w:rFonts w:eastAsiaTheme="majorEastAsia"/>
            <w:color w:val="auto"/>
          </w:rPr>
          <w:t>стандарт</w:t>
        </w:r>
      </w:hyperlink>
      <w:r w:rsidRPr="0093071A">
        <w:t xml:space="preserve"> оценки «Требования к отчету об оценке» (далее - ФСО №3), Федеральный </w:t>
      </w:r>
      <w:hyperlink r:id="rId8" w:anchor="P23" w:history="1">
        <w:r w:rsidRPr="0093071A">
          <w:rPr>
            <w:rStyle w:val="a6"/>
            <w:rFonts w:eastAsiaTheme="majorEastAsia"/>
            <w:color w:val="auto"/>
          </w:rPr>
          <w:t>стандарт</w:t>
        </w:r>
      </w:hyperlink>
      <w:r w:rsidRPr="0093071A">
        <w:t xml:space="preserve"> оценки «Оценка стоимости машин и оборудования» (далее - ФСО №10).</w:t>
      </w:r>
    </w:p>
    <w:p w:rsidR="00822FC1" w:rsidRPr="008A073F" w:rsidRDefault="00822FC1" w:rsidP="00822FC1">
      <w:pPr>
        <w:pStyle w:val="ConsPlusNormal"/>
        <w:ind w:firstLine="567"/>
        <w:jc w:val="both"/>
      </w:pPr>
    </w:p>
    <w:p w:rsidR="00822FC1" w:rsidRPr="008A073F" w:rsidRDefault="00822FC1" w:rsidP="00822FC1">
      <w:pPr>
        <w:pStyle w:val="ConsPlusNormal"/>
        <w:ind w:firstLine="567"/>
        <w:jc w:val="both"/>
      </w:pPr>
      <w:r w:rsidRPr="008A073F">
        <w:t>Целью оценки является определение рыночной стоимости объекта оценки.</w:t>
      </w:r>
    </w:p>
    <w:p w:rsidR="00822FC1" w:rsidRPr="008A073F" w:rsidRDefault="00822FC1" w:rsidP="00822FC1">
      <w:pPr>
        <w:pStyle w:val="ConsPlusNormal"/>
        <w:ind w:firstLine="567"/>
        <w:jc w:val="both"/>
      </w:pPr>
      <w:r w:rsidRPr="008A073F">
        <w:t>Результаты оценки необходимы для определения начальной цены продажи имущества должника.</w:t>
      </w:r>
    </w:p>
    <w:p w:rsidR="00822FC1" w:rsidRDefault="00822FC1" w:rsidP="00822FC1">
      <w:pPr>
        <w:pStyle w:val="ConsPlusNormal"/>
        <w:ind w:firstLine="567"/>
        <w:jc w:val="both"/>
        <w:rPr>
          <w:b/>
          <w:bCs/>
        </w:rPr>
      </w:pPr>
    </w:p>
    <w:p w:rsidR="00822FC1" w:rsidRDefault="00822FC1" w:rsidP="00822FC1">
      <w:pPr>
        <w:pStyle w:val="ConsPlusNormal"/>
        <w:numPr>
          <w:ilvl w:val="0"/>
          <w:numId w:val="5"/>
        </w:numPr>
        <w:jc w:val="both"/>
        <w:rPr>
          <w:b/>
          <w:bCs/>
        </w:rPr>
      </w:pPr>
      <w:r w:rsidRPr="008A073F">
        <w:rPr>
          <w:b/>
          <w:bCs/>
        </w:rPr>
        <w:t>Общие понятия оценки.</w:t>
      </w:r>
    </w:p>
    <w:p w:rsidR="00822FC1" w:rsidRPr="008A073F" w:rsidRDefault="00822FC1" w:rsidP="00822FC1">
      <w:pPr>
        <w:pStyle w:val="ConsPlusNormal"/>
        <w:ind w:firstLine="567"/>
        <w:jc w:val="both"/>
      </w:pPr>
      <w:r w:rsidRPr="008A073F">
        <w:t>К объектам оценки относятся объекты гражданских прав, в отношении которых законодательством РФ установлена возможность их участия в гражданском обороте.</w:t>
      </w:r>
    </w:p>
    <w:p w:rsidR="00822FC1" w:rsidRPr="008A073F" w:rsidRDefault="00822FC1" w:rsidP="00822FC1">
      <w:pPr>
        <w:pStyle w:val="ConsPlusNormal"/>
        <w:ind w:firstLine="567"/>
        <w:jc w:val="both"/>
      </w:pPr>
      <w:r w:rsidRPr="008A073F">
        <w:t>Цена - это денежная сумма, запрашиваемая, предлагаемая или уплачиваемая участниками в результате совершенной или предполагаемой сделки.</w:t>
      </w:r>
    </w:p>
    <w:p w:rsidR="00822FC1" w:rsidRPr="008A073F" w:rsidRDefault="00822FC1" w:rsidP="00822FC1">
      <w:pPr>
        <w:pStyle w:val="ConsPlusNormal"/>
        <w:ind w:firstLine="567"/>
        <w:jc w:val="both"/>
      </w:pPr>
      <w:r w:rsidRPr="008A073F">
        <w:t>Стоимость объекта оценки - это наиболее вероятная расчетная величина, определенная на дату оценки в соответствии с выбранным видом стоимости.</w:t>
      </w:r>
    </w:p>
    <w:p w:rsidR="00822FC1" w:rsidRPr="008A073F" w:rsidRDefault="00822FC1" w:rsidP="00822FC1">
      <w:pPr>
        <w:pStyle w:val="ConsPlusNormal"/>
        <w:ind w:firstLine="567"/>
        <w:jc w:val="both"/>
      </w:pPr>
      <w:r w:rsidRPr="008A073F">
        <w:t>Итоговая величина стоимости - стоимость объекта оценки, рассчитанная при использовании подходов к оценке и обоснованного оценщиком согласования (обобщения) результатов, полученных в рамках применения различных подходов к оценке.</w:t>
      </w:r>
    </w:p>
    <w:p w:rsidR="00822FC1" w:rsidRPr="008A073F" w:rsidRDefault="00822FC1" w:rsidP="00822FC1">
      <w:pPr>
        <w:pStyle w:val="ConsPlusNormal"/>
        <w:ind w:firstLine="567"/>
        <w:jc w:val="both"/>
      </w:pPr>
      <w:r w:rsidRPr="008A073F">
        <w:t>Подход к оценке - это совокупность методов оценки, объединенных общей методологией. Метод проведения оценки объекта оценки - это последовательность процедур, позволяющая на основе существенной для данного метода информации определить стоимость объекта оценки в рамках одного из подходов к оценке.</w:t>
      </w:r>
    </w:p>
    <w:p w:rsidR="00822FC1" w:rsidRPr="008A073F" w:rsidRDefault="00822FC1" w:rsidP="00822FC1">
      <w:pPr>
        <w:pStyle w:val="ConsPlusNormal"/>
        <w:ind w:firstLine="567"/>
        <w:jc w:val="both"/>
      </w:pPr>
      <w:r w:rsidRPr="008A073F">
        <w:t>Дата определения стоимости объекта оценки (дата проведения оценки, дата оценки) - это дата, по состоянию на которую определена стоимость объекта оценки.</w:t>
      </w:r>
    </w:p>
    <w:p w:rsidR="00822FC1" w:rsidRPr="008A073F" w:rsidRDefault="00822FC1" w:rsidP="00822FC1">
      <w:pPr>
        <w:pStyle w:val="ConsPlusNormal"/>
        <w:ind w:firstLine="567"/>
        <w:jc w:val="both"/>
      </w:pPr>
      <w:r w:rsidRPr="008A073F">
        <w:lastRenderedPageBreak/>
        <w:t>Информация о событиях, произошедших после даты оценки, может быть использована для определения стоимости объекта оценки только для подтверждения тенденций, сложившихся на дату оценки, в том случае, когда такая информация соответствует сложившимся ожиданиям рынка на дату оценки.</w:t>
      </w:r>
    </w:p>
    <w:p w:rsidR="00822FC1" w:rsidRPr="008A073F" w:rsidRDefault="00822FC1" w:rsidP="00822FC1">
      <w:pPr>
        <w:pStyle w:val="ConsPlusNormal"/>
        <w:ind w:firstLine="567"/>
        <w:jc w:val="both"/>
      </w:pPr>
      <w:r w:rsidRPr="008A073F">
        <w:t>Допущение - предположение, принимаемое как верное и касающееся фактов, условий или обстоятельств, связанных с объектом оценки или подходами к оценке, которые не требуют проверки оценщиком в процессе оценки.</w:t>
      </w:r>
    </w:p>
    <w:p w:rsidR="00822FC1" w:rsidRPr="008A073F" w:rsidRDefault="00822FC1" w:rsidP="00822FC1">
      <w:pPr>
        <w:pStyle w:val="ConsPlusNormal"/>
        <w:ind w:firstLine="567"/>
        <w:jc w:val="both"/>
      </w:pPr>
      <w:r w:rsidRPr="008A073F">
        <w:t>Объект-аналог - объект, сходный объекту оценки по основным экономическим, материальным, техническим и другим характеристикам, определяющим его стоимость.</w:t>
      </w:r>
    </w:p>
    <w:p w:rsidR="00822FC1" w:rsidRPr="008A073F" w:rsidRDefault="00822FC1" w:rsidP="00822FC1">
      <w:pPr>
        <w:ind w:firstLine="567"/>
        <w:jc w:val="both"/>
      </w:pPr>
      <w:r w:rsidRPr="008A073F">
        <w:t>Рыночная стоимость объекта оценки -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822FC1" w:rsidRPr="008A073F" w:rsidRDefault="00822FC1" w:rsidP="00822FC1">
      <w:pPr>
        <w:ind w:firstLine="567"/>
        <w:jc w:val="both"/>
      </w:pPr>
      <w:r w:rsidRPr="008A073F">
        <w:t>- одна из сторон сделки не обязана отчуждать объект оценки, а другая сторона не обязана принимать исполнение;</w:t>
      </w:r>
    </w:p>
    <w:p w:rsidR="00822FC1" w:rsidRPr="008A073F" w:rsidRDefault="00822FC1" w:rsidP="00822FC1">
      <w:pPr>
        <w:ind w:firstLine="567"/>
        <w:jc w:val="both"/>
      </w:pPr>
      <w:r w:rsidRPr="008A073F">
        <w:t>- стороны сделки хорошо осведомлены о предмете сделки и действуют в своих интересах;</w:t>
      </w:r>
    </w:p>
    <w:p w:rsidR="00822FC1" w:rsidRPr="008A073F" w:rsidRDefault="00822FC1" w:rsidP="00822FC1">
      <w:pPr>
        <w:ind w:firstLine="567"/>
        <w:jc w:val="both"/>
      </w:pPr>
      <w:r w:rsidRPr="008A073F">
        <w:t>- объект оценки представлен на открытом рынке посредством публичной оферты, типичной для аналогичных объектов оценки;</w:t>
      </w:r>
    </w:p>
    <w:p w:rsidR="00822FC1" w:rsidRPr="008A073F" w:rsidRDefault="00822FC1" w:rsidP="00822FC1">
      <w:pPr>
        <w:ind w:firstLine="567"/>
        <w:jc w:val="both"/>
      </w:pPr>
      <w:r w:rsidRPr="008A073F">
        <w:t>-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822FC1" w:rsidRPr="008A073F" w:rsidRDefault="00822FC1" w:rsidP="00822FC1">
      <w:pPr>
        <w:ind w:firstLine="567"/>
        <w:jc w:val="both"/>
      </w:pPr>
      <w:r w:rsidRPr="008A073F">
        <w:t>- платеж за объект оценки выражен в денежной форме.</w:t>
      </w:r>
    </w:p>
    <w:p w:rsidR="00822FC1" w:rsidRDefault="00822FC1" w:rsidP="00822FC1">
      <w:pPr>
        <w:pStyle w:val="ConsPlusNormal"/>
        <w:ind w:firstLine="567"/>
        <w:jc w:val="both"/>
        <w:rPr>
          <w:b/>
          <w:bCs/>
        </w:rPr>
      </w:pPr>
    </w:p>
    <w:p w:rsidR="00822FC1" w:rsidRDefault="00822FC1" w:rsidP="00822FC1">
      <w:pPr>
        <w:pStyle w:val="ConsPlusNormal"/>
        <w:numPr>
          <w:ilvl w:val="0"/>
          <w:numId w:val="5"/>
        </w:numPr>
        <w:jc w:val="both"/>
        <w:rPr>
          <w:b/>
          <w:bCs/>
        </w:rPr>
      </w:pPr>
      <w:r w:rsidRPr="008A073F">
        <w:rPr>
          <w:b/>
          <w:bCs/>
        </w:rPr>
        <w:t>Подходы к оценке.</w:t>
      </w:r>
    </w:p>
    <w:p w:rsidR="00822FC1" w:rsidRPr="008A073F" w:rsidRDefault="00822FC1" w:rsidP="00822FC1">
      <w:pPr>
        <w:pStyle w:val="ConsPlusNormal"/>
        <w:ind w:firstLine="567"/>
        <w:jc w:val="both"/>
      </w:pPr>
      <w:r w:rsidRPr="008A073F">
        <w:t>Основными подходами, используемыми при проведении оценки, являются сравнительный, доходный и затратный подходы. При выборе используемых при проведении оценки подходов следует учитывать не только возможность применения каждого из подходов, но и цели и задачи оценки, предполагаемое использование результатов оценки, допущения, полноту и достоверность исходной информации. На основе анализа указанных факторов обосновывается выбор подходов, используемых оценщиком.</w:t>
      </w:r>
    </w:p>
    <w:p w:rsidR="00822FC1" w:rsidRPr="008A073F" w:rsidRDefault="00822FC1" w:rsidP="00822FC1">
      <w:pPr>
        <w:pStyle w:val="ConsPlusNormal"/>
        <w:ind w:firstLine="567"/>
        <w:jc w:val="both"/>
      </w:pPr>
      <w:r w:rsidRPr="008A073F">
        <w:t>1. Сравнительный подход:</w:t>
      </w:r>
    </w:p>
    <w:p w:rsidR="00822FC1" w:rsidRPr="008A073F" w:rsidRDefault="00822FC1" w:rsidP="00822FC1">
      <w:pPr>
        <w:pStyle w:val="ConsPlusNormal"/>
        <w:ind w:firstLine="567"/>
        <w:jc w:val="both"/>
      </w:pPr>
      <w:r w:rsidRPr="008A073F">
        <w:t>Сравнительный подход - совокупность методов оценки, основанных на получении стоимости объекта оценки путем сравнения оцениваемого объекта с объектами-аналогами.</w:t>
      </w:r>
    </w:p>
    <w:p w:rsidR="00822FC1" w:rsidRPr="008A073F" w:rsidRDefault="00822FC1" w:rsidP="00822FC1">
      <w:pPr>
        <w:pStyle w:val="ConsPlusNormal"/>
        <w:ind w:firstLine="567"/>
        <w:jc w:val="both"/>
      </w:pPr>
      <w:r w:rsidRPr="008A073F">
        <w:t>Сравнительный подход рекомендуется применять, когда доступна достоверная и достаточная для анализа информация о ценах и характеристиках объектов-аналогов. При этом могут применяться как цены совершенных сделок, так и цены предложений.</w:t>
      </w:r>
    </w:p>
    <w:p w:rsidR="00822FC1" w:rsidRPr="008A073F" w:rsidRDefault="00822FC1" w:rsidP="00822FC1">
      <w:pPr>
        <w:pStyle w:val="ConsPlusNormal"/>
        <w:ind w:firstLine="567"/>
        <w:jc w:val="both"/>
      </w:pPr>
      <w:r w:rsidRPr="008A073F">
        <w:t>В рамках сравнительного подхода применяются различные методы, основанные как на прямом сопоставлении оцениваемого объекта и объектов-аналогов, так и методы, основанные на анализе статистических данных и информации о рынке объекта оценки.</w:t>
      </w:r>
    </w:p>
    <w:p w:rsidR="00822FC1" w:rsidRPr="008A073F" w:rsidRDefault="00822FC1" w:rsidP="00822FC1">
      <w:pPr>
        <w:pStyle w:val="ConsPlusNormal"/>
        <w:ind w:firstLine="567"/>
        <w:jc w:val="both"/>
      </w:pPr>
      <w:r w:rsidRPr="008A073F">
        <w:t>2. Доходный подход:</w:t>
      </w:r>
    </w:p>
    <w:p w:rsidR="00822FC1" w:rsidRPr="008A073F" w:rsidRDefault="00822FC1" w:rsidP="00822FC1">
      <w:pPr>
        <w:pStyle w:val="ConsPlusNormal"/>
        <w:ind w:firstLine="567"/>
        <w:jc w:val="both"/>
      </w:pPr>
      <w:r w:rsidRPr="008A073F">
        <w:t>Доходный подход - совокупность методов оценки, основанных на определении ожидаемых доходов от использования объекта оценки.</w:t>
      </w:r>
    </w:p>
    <w:p w:rsidR="00822FC1" w:rsidRPr="008A073F" w:rsidRDefault="00822FC1" w:rsidP="00822FC1">
      <w:pPr>
        <w:pStyle w:val="ConsPlusNormal"/>
        <w:ind w:firstLine="567"/>
        <w:jc w:val="both"/>
      </w:pPr>
      <w:r w:rsidRPr="008A073F">
        <w:t>Доходный подход рекомендуется применять,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w:t>
      </w:r>
    </w:p>
    <w:p w:rsidR="00822FC1" w:rsidRPr="008A073F" w:rsidRDefault="00822FC1" w:rsidP="00822FC1">
      <w:pPr>
        <w:pStyle w:val="ConsPlusNormal"/>
        <w:ind w:firstLine="567"/>
        <w:jc w:val="both"/>
      </w:pPr>
      <w:r w:rsidRPr="008A073F">
        <w:t>В рамках доходного подхода применяются различные методы, основанные на дисконтировании денежных потоков и капитализации дохода.</w:t>
      </w:r>
    </w:p>
    <w:p w:rsidR="00822FC1" w:rsidRPr="008A073F" w:rsidRDefault="00822FC1" w:rsidP="00822FC1">
      <w:pPr>
        <w:pStyle w:val="ConsPlusNormal"/>
        <w:ind w:firstLine="567"/>
        <w:jc w:val="both"/>
      </w:pPr>
      <w:r w:rsidRPr="008A073F">
        <w:t>3. Затратный подход:</w:t>
      </w:r>
    </w:p>
    <w:p w:rsidR="00822FC1" w:rsidRPr="008A073F" w:rsidRDefault="00822FC1" w:rsidP="00822FC1">
      <w:pPr>
        <w:pStyle w:val="ConsPlusNormal"/>
        <w:ind w:firstLine="567"/>
        <w:jc w:val="both"/>
      </w:pPr>
      <w:r w:rsidRPr="008A073F">
        <w:t xml:space="preserve">Затратный подход - совокупность методов оценки стоимости объекта оценки, </w:t>
      </w:r>
      <w:r w:rsidRPr="008A073F">
        <w:lastRenderedPageBreak/>
        <w:t xml:space="preserve">основанных на определении затрат, необходимых для приобретения, воспроизводства либо замещения объекта оценки с учетом износа и </w:t>
      </w:r>
      <w:proofErr w:type="spellStart"/>
      <w:r w:rsidRPr="008A073F">
        <w:t>устареваний</w:t>
      </w:r>
      <w:proofErr w:type="spellEnd"/>
      <w:r w:rsidRPr="008A073F">
        <w:t>.</w:t>
      </w:r>
    </w:p>
    <w:p w:rsidR="00822FC1" w:rsidRPr="008A073F" w:rsidRDefault="00822FC1" w:rsidP="00822FC1">
      <w:pPr>
        <w:pStyle w:val="ConsPlusNormal"/>
        <w:ind w:firstLine="567"/>
        <w:jc w:val="both"/>
      </w:pPr>
      <w:r w:rsidRPr="008A073F">
        <w:t>Затратный подход преимущественно применяется в тех случаях, когда существует достоверная информация, позволяющая определить затраты на приобретение, воспроизводство либо замещение объекта оценки.</w:t>
      </w:r>
    </w:p>
    <w:p w:rsidR="00822FC1" w:rsidRPr="008A073F" w:rsidRDefault="00822FC1" w:rsidP="00822FC1">
      <w:pPr>
        <w:pStyle w:val="ConsPlusNormal"/>
        <w:ind w:firstLine="567"/>
        <w:jc w:val="both"/>
      </w:pPr>
      <w:r w:rsidRPr="008A073F">
        <w:t>В рамках затратного подхода применяются различные методы, основанные на определении затрат на создание точной копии объекта оценки или объекта, имеющего аналогичные полезные свойства. Критерии признания объекта точной копией объекта оценки или объектом, имеющим сопоставимые полезные свойства, определяются федеральными стандартами оценки, устанавливающими требования к проведению оценки отдельных видов объектов оценки и (или) для специальных целей.</w:t>
      </w:r>
    </w:p>
    <w:p w:rsidR="00822FC1" w:rsidRDefault="00822FC1" w:rsidP="00822FC1">
      <w:pPr>
        <w:pStyle w:val="ConsPlusNormal"/>
        <w:ind w:firstLine="567"/>
        <w:jc w:val="both"/>
        <w:rPr>
          <w:b/>
        </w:rPr>
      </w:pPr>
    </w:p>
    <w:p w:rsidR="00822FC1" w:rsidRDefault="00822FC1" w:rsidP="00822FC1">
      <w:pPr>
        <w:pStyle w:val="ConsPlusNormal"/>
        <w:ind w:firstLine="567"/>
        <w:jc w:val="both"/>
        <w:rPr>
          <w:b/>
        </w:rPr>
      </w:pPr>
      <w:r w:rsidRPr="008A073F">
        <w:rPr>
          <w:b/>
          <w:lang w:val="en-US"/>
        </w:rPr>
        <w:t>IV</w:t>
      </w:r>
      <w:r w:rsidRPr="008A073F">
        <w:rPr>
          <w:b/>
        </w:rPr>
        <w:t>. Этапы и процесс оценки</w:t>
      </w:r>
      <w:bookmarkStart w:id="1" w:name="_Toc368925141"/>
      <w:r w:rsidRPr="008A073F">
        <w:rPr>
          <w:b/>
        </w:rPr>
        <w:t>.</w:t>
      </w:r>
    </w:p>
    <w:bookmarkEnd w:id="1"/>
    <w:p w:rsidR="00822FC1" w:rsidRPr="008A073F" w:rsidRDefault="00822FC1" w:rsidP="00822FC1">
      <w:pPr>
        <w:pStyle w:val="p41"/>
        <w:shd w:val="clear" w:color="auto" w:fill="FFFFFF"/>
        <w:spacing w:before="0" w:beforeAutospacing="0" w:after="0" w:afterAutospacing="0"/>
        <w:ind w:firstLine="567"/>
        <w:jc w:val="both"/>
      </w:pPr>
      <w:r w:rsidRPr="008A073F">
        <w:t>Процесс оценки состоит из нескольких последовательно выполняемых этапов:</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установление количественных и качественных характеристик объекта оценки;</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анализ рынка, к которому относится объект оценки;</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выбор и обоснование подходов к оценке и методов оценки в рамках каждого из подходов к оценке;</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расчет рыночной стоимости объекта оценки в рамках каждого из выбранных подходов к оценке;</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обобщение результатов, полученных в рамках каждого из подходов к оценке, и определение итоговой величины рыночной стоимости объекта оценки;</w:t>
      </w:r>
    </w:p>
    <w:p w:rsidR="00822FC1" w:rsidRPr="008A073F" w:rsidRDefault="00822FC1" w:rsidP="00822FC1">
      <w:pPr>
        <w:pStyle w:val="p41"/>
        <w:shd w:val="clear" w:color="auto" w:fill="FFFFFF"/>
        <w:spacing w:before="0" w:beforeAutospacing="0" w:after="0" w:afterAutospacing="0"/>
        <w:ind w:firstLine="567"/>
        <w:jc w:val="both"/>
      </w:pPr>
      <w:r w:rsidRPr="008A073F">
        <w:rPr>
          <w:rStyle w:val="s13"/>
        </w:rPr>
        <w:t xml:space="preserve">– </w:t>
      </w:r>
      <w:r w:rsidRPr="008A073F">
        <w:t>составление решения об оценке.</w:t>
      </w:r>
    </w:p>
    <w:p w:rsidR="00822FC1" w:rsidRPr="006A6C68" w:rsidRDefault="00822FC1" w:rsidP="00822FC1">
      <w:pPr>
        <w:pStyle w:val="ConsPlusNormal"/>
        <w:ind w:firstLine="567"/>
        <w:jc w:val="both"/>
        <w:rPr>
          <w:b/>
        </w:rPr>
      </w:pPr>
    </w:p>
    <w:p w:rsidR="00822FC1" w:rsidRDefault="00822FC1" w:rsidP="00822FC1">
      <w:pPr>
        <w:pStyle w:val="ConsPlusNormal"/>
        <w:ind w:firstLine="567"/>
        <w:jc w:val="both"/>
        <w:rPr>
          <w:b/>
        </w:rPr>
      </w:pPr>
      <w:r w:rsidRPr="008A073F">
        <w:rPr>
          <w:b/>
          <w:lang w:val="en-US"/>
        </w:rPr>
        <w:t>V</w:t>
      </w:r>
      <w:r w:rsidRPr="008A073F">
        <w:rPr>
          <w:b/>
        </w:rPr>
        <w:t>. Описание объекта оценки.</w:t>
      </w:r>
    </w:p>
    <w:p w:rsidR="00822FC1" w:rsidRDefault="00822FC1" w:rsidP="00C01324">
      <w:pPr>
        <w:pStyle w:val="p5"/>
        <w:shd w:val="clear" w:color="auto" w:fill="FFFFFF"/>
        <w:spacing w:before="0" w:beforeAutospacing="0" w:after="0" w:afterAutospacing="0"/>
        <w:ind w:firstLine="566"/>
        <w:jc w:val="both"/>
      </w:pPr>
    </w:p>
    <w:p w:rsidR="00E46E7A" w:rsidRDefault="00384B55" w:rsidP="00384B55">
      <w:pPr>
        <w:ind w:firstLine="567"/>
        <w:jc w:val="both"/>
        <w:rPr>
          <w:szCs w:val="24"/>
        </w:rPr>
      </w:pPr>
      <w:r w:rsidRPr="00BF3F0D">
        <w:rPr>
          <w:szCs w:val="24"/>
        </w:rPr>
        <w:t xml:space="preserve">Право требования </w:t>
      </w:r>
      <w:r w:rsidR="00723559">
        <w:rPr>
          <w:szCs w:val="24"/>
        </w:rPr>
        <w:t xml:space="preserve">дебиторской </w:t>
      </w:r>
      <w:proofErr w:type="gramStart"/>
      <w:r w:rsidR="00723559">
        <w:rPr>
          <w:szCs w:val="24"/>
        </w:rPr>
        <w:t>задолженности</w:t>
      </w:r>
      <w:r w:rsidR="002808EE">
        <w:rPr>
          <w:szCs w:val="24"/>
        </w:rPr>
        <w:t>(</w:t>
      </w:r>
      <w:proofErr w:type="gramEnd"/>
      <w:r w:rsidR="002808EE">
        <w:rPr>
          <w:szCs w:val="24"/>
        </w:rPr>
        <w:t>по исполнительному листу(исполнительному производству))</w:t>
      </w:r>
      <w:r w:rsidR="00723559">
        <w:rPr>
          <w:szCs w:val="24"/>
        </w:rPr>
        <w:t xml:space="preserve">: </w:t>
      </w:r>
    </w:p>
    <w:tbl>
      <w:tblPr>
        <w:tblW w:w="9351" w:type="dxa"/>
        <w:tblLook w:val="04A0" w:firstRow="1" w:lastRow="0" w:firstColumn="1" w:lastColumn="0" w:noHBand="0" w:noVBand="1"/>
      </w:tblPr>
      <w:tblGrid>
        <w:gridCol w:w="7508"/>
        <w:gridCol w:w="1843"/>
      </w:tblGrid>
      <w:tr w:rsidR="00723559" w:rsidRPr="00723559" w:rsidTr="00723559">
        <w:trPr>
          <w:trHeight w:val="228"/>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559" w:rsidRPr="00723559" w:rsidRDefault="00723559" w:rsidP="00BD0880">
            <w:pPr>
              <w:jc w:val="center"/>
              <w:rPr>
                <w:szCs w:val="24"/>
              </w:rPr>
            </w:pPr>
            <w:r w:rsidRPr="00723559">
              <w:rPr>
                <w:szCs w:val="24"/>
              </w:rPr>
              <w:t>Наименование дебитора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23559" w:rsidRPr="00723559" w:rsidRDefault="00723559" w:rsidP="00BD0880">
            <w:pPr>
              <w:jc w:val="center"/>
              <w:rPr>
                <w:szCs w:val="24"/>
              </w:rPr>
            </w:pPr>
            <w:r w:rsidRPr="00723559">
              <w:rPr>
                <w:szCs w:val="24"/>
              </w:rPr>
              <w:t>Сумма, руб.</w:t>
            </w:r>
          </w:p>
        </w:tc>
      </w:tr>
      <w:tr w:rsidR="003D6040" w:rsidRPr="00723559" w:rsidTr="00F50246">
        <w:trPr>
          <w:trHeight w:val="228"/>
        </w:trPr>
        <w:tc>
          <w:tcPr>
            <w:tcW w:w="7508" w:type="dxa"/>
            <w:tcBorders>
              <w:top w:val="nil"/>
              <w:left w:val="single" w:sz="4" w:space="0" w:color="auto"/>
              <w:bottom w:val="single" w:sz="4" w:space="0" w:color="auto"/>
              <w:right w:val="single" w:sz="4" w:space="0" w:color="auto"/>
            </w:tcBorders>
            <w:shd w:val="clear" w:color="auto" w:fill="auto"/>
            <w:vAlign w:val="bottom"/>
            <w:hideMark/>
          </w:tcPr>
          <w:p w:rsidR="003D6040" w:rsidRPr="00BD0880" w:rsidRDefault="000B45C8" w:rsidP="003D6040">
            <w:pPr>
              <w:rPr>
                <w:szCs w:val="24"/>
              </w:rPr>
            </w:pPr>
            <w:proofErr w:type="spellStart"/>
            <w:r>
              <w:rPr>
                <w:b/>
              </w:rPr>
              <w:t>Шамсудинов</w:t>
            </w:r>
            <w:proofErr w:type="spellEnd"/>
            <w:r>
              <w:rPr>
                <w:b/>
              </w:rPr>
              <w:t xml:space="preserve"> Иван Андреевич</w:t>
            </w:r>
          </w:p>
        </w:tc>
        <w:tc>
          <w:tcPr>
            <w:tcW w:w="1843" w:type="dxa"/>
            <w:tcBorders>
              <w:top w:val="nil"/>
              <w:left w:val="nil"/>
              <w:bottom w:val="single" w:sz="4" w:space="0" w:color="auto"/>
              <w:right w:val="single" w:sz="4" w:space="0" w:color="auto"/>
            </w:tcBorders>
            <w:shd w:val="clear" w:color="auto" w:fill="auto"/>
            <w:noWrap/>
          </w:tcPr>
          <w:p w:rsidR="003D6040" w:rsidRPr="003A0866" w:rsidRDefault="002808EE" w:rsidP="003D6040">
            <w:r>
              <w:t>116314.92</w:t>
            </w:r>
          </w:p>
        </w:tc>
      </w:tr>
      <w:tr w:rsidR="003D6040" w:rsidRPr="00723559" w:rsidTr="00F50246">
        <w:trPr>
          <w:trHeight w:val="228"/>
        </w:trPr>
        <w:tc>
          <w:tcPr>
            <w:tcW w:w="7508" w:type="dxa"/>
            <w:tcBorders>
              <w:top w:val="nil"/>
              <w:left w:val="single" w:sz="4" w:space="0" w:color="auto"/>
              <w:bottom w:val="single" w:sz="4" w:space="0" w:color="auto"/>
              <w:right w:val="single" w:sz="4" w:space="0" w:color="auto"/>
            </w:tcBorders>
            <w:shd w:val="clear" w:color="auto" w:fill="auto"/>
            <w:vAlign w:val="bottom"/>
            <w:hideMark/>
          </w:tcPr>
          <w:p w:rsidR="003D6040" w:rsidRPr="00BD0880" w:rsidRDefault="000B45C8" w:rsidP="003D6040">
            <w:pPr>
              <w:rPr>
                <w:szCs w:val="24"/>
              </w:rPr>
            </w:pPr>
            <w:proofErr w:type="spellStart"/>
            <w:r>
              <w:rPr>
                <w:b/>
              </w:rPr>
              <w:t>Шамсудинов</w:t>
            </w:r>
            <w:proofErr w:type="spellEnd"/>
            <w:r>
              <w:rPr>
                <w:b/>
              </w:rPr>
              <w:t xml:space="preserve"> Иван Андреевич</w:t>
            </w:r>
          </w:p>
        </w:tc>
        <w:tc>
          <w:tcPr>
            <w:tcW w:w="1843" w:type="dxa"/>
            <w:tcBorders>
              <w:top w:val="nil"/>
              <w:left w:val="nil"/>
              <w:bottom w:val="single" w:sz="4" w:space="0" w:color="auto"/>
              <w:right w:val="single" w:sz="4" w:space="0" w:color="auto"/>
            </w:tcBorders>
            <w:shd w:val="clear" w:color="auto" w:fill="auto"/>
            <w:noWrap/>
          </w:tcPr>
          <w:p w:rsidR="003D6040" w:rsidRPr="003A0866" w:rsidRDefault="002808EE" w:rsidP="003D6040">
            <w:r>
              <w:t>500000.00</w:t>
            </w:r>
          </w:p>
        </w:tc>
      </w:tr>
      <w:tr w:rsidR="002808EE" w:rsidRPr="00723559" w:rsidTr="00F50246">
        <w:trPr>
          <w:trHeight w:val="228"/>
        </w:trPr>
        <w:tc>
          <w:tcPr>
            <w:tcW w:w="7508" w:type="dxa"/>
            <w:tcBorders>
              <w:top w:val="nil"/>
              <w:left w:val="single" w:sz="4" w:space="0" w:color="auto"/>
              <w:bottom w:val="single" w:sz="4" w:space="0" w:color="auto"/>
              <w:right w:val="single" w:sz="4" w:space="0" w:color="auto"/>
            </w:tcBorders>
            <w:shd w:val="clear" w:color="auto" w:fill="auto"/>
            <w:vAlign w:val="bottom"/>
          </w:tcPr>
          <w:p w:rsidR="002808EE" w:rsidRDefault="002808EE" w:rsidP="003D6040">
            <w:pPr>
              <w:rPr>
                <w:b/>
              </w:rPr>
            </w:pPr>
            <w:proofErr w:type="spellStart"/>
            <w:r>
              <w:rPr>
                <w:b/>
              </w:rPr>
              <w:t>Шамсудинов</w:t>
            </w:r>
            <w:proofErr w:type="spellEnd"/>
            <w:r>
              <w:rPr>
                <w:b/>
              </w:rPr>
              <w:t xml:space="preserve"> Иван Андреевич</w:t>
            </w:r>
          </w:p>
        </w:tc>
        <w:tc>
          <w:tcPr>
            <w:tcW w:w="1843" w:type="dxa"/>
            <w:tcBorders>
              <w:top w:val="nil"/>
              <w:left w:val="nil"/>
              <w:bottom w:val="single" w:sz="4" w:space="0" w:color="auto"/>
              <w:right w:val="single" w:sz="4" w:space="0" w:color="auto"/>
            </w:tcBorders>
            <w:shd w:val="clear" w:color="auto" w:fill="auto"/>
            <w:noWrap/>
          </w:tcPr>
          <w:p w:rsidR="002808EE" w:rsidRDefault="002808EE" w:rsidP="003D6040">
            <w:r>
              <w:t>225000.00</w:t>
            </w:r>
          </w:p>
        </w:tc>
      </w:tr>
      <w:tr w:rsidR="003D6040" w:rsidRPr="00723559" w:rsidTr="00F50246">
        <w:trPr>
          <w:trHeight w:val="228"/>
        </w:trPr>
        <w:tc>
          <w:tcPr>
            <w:tcW w:w="7508" w:type="dxa"/>
            <w:tcBorders>
              <w:top w:val="nil"/>
              <w:left w:val="single" w:sz="4" w:space="0" w:color="auto"/>
              <w:bottom w:val="single" w:sz="4" w:space="0" w:color="auto"/>
              <w:right w:val="single" w:sz="4" w:space="0" w:color="auto"/>
            </w:tcBorders>
            <w:shd w:val="clear" w:color="auto" w:fill="auto"/>
            <w:vAlign w:val="bottom"/>
            <w:hideMark/>
          </w:tcPr>
          <w:p w:rsidR="003D6040" w:rsidRPr="00BD0880" w:rsidRDefault="002808EE" w:rsidP="003D6040">
            <w:pPr>
              <w:rPr>
                <w:szCs w:val="24"/>
              </w:rPr>
            </w:pPr>
            <w:r>
              <w:rPr>
                <w:b/>
              </w:rPr>
              <w:t>ИТОГО</w:t>
            </w:r>
          </w:p>
        </w:tc>
        <w:tc>
          <w:tcPr>
            <w:tcW w:w="1843" w:type="dxa"/>
            <w:tcBorders>
              <w:top w:val="nil"/>
              <w:left w:val="nil"/>
              <w:bottom w:val="single" w:sz="4" w:space="0" w:color="auto"/>
              <w:right w:val="single" w:sz="4" w:space="0" w:color="auto"/>
            </w:tcBorders>
            <w:shd w:val="clear" w:color="auto" w:fill="auto"/>
            <w:noWrap/>
          </w:tcPr>
          <w:p w:rsidR="003D6040" w:rsidRPr="00CC513E" w:rsidRDefault="002808EE" w:rsidP="002808EE">
            <w:pPr>
              <w:rPr>
                <w:b/>
              </w:rPr>
            </w:pPr>
            <w:r w:rsidRPr="00CC513E">
              <w:rPr>
                <w:b/>
              </w:rPr>
              <w:t>841314.92</w:t>
            </w:r>
          </w:p>
        </w:tc>
      </w:tr>
    </w:tbl>
    <w:p w:rsidR="00384B55" w:rsidRDefault="00384B55" w:rsidP="00384B55">
      <w:pPr>
        <w:jc w:val="both"/>
        <w:rPr>
          <w:szCs w:val="24"/>
        </w:rPr>
      </w:pPr>
    </w:p>
    <w:p w:rsidR="00822FC1" w:rsidRPr="0093071A" w:rsidRDefault="00822FC1" w:rsidP="00822FC1">
      <w:pPr>
        <w:pStyle w:val="a5"/>
        <w:ind w:firstLine="567"/>
        <w:jc w:val="both"/>
        <w:rPr>
          <w:rFonts w:ascii="Times New Roman" w:hAnsi="Times New Roman"/>
          <w:b/>
          <w:sz w:val="24"/>
          <w:szCs w:val="24"/>
        </w:rPr>
      </w:pPr>
      <w:r>
        <w:rPr>
          <w:rFonts w:ascii="Times New Roman" w:hAnsi="Times New Roman"/>
          <w:b/>
          <w:sz w:val="24"/>
          <w:szCs w:val="24"/>
          <w:lang w:val="en-US"/>
        </w:rPr>
        <w:t>VI</w:t>
      </w:r>
      <w:r w:rsidRPr="0093071A">
        <w:rPr>
          <w:rFonts w:ascii="Times New Roman" w:hAnsi="Times New Roman"/>
          <w:b/>
          <w:sz w:val="24"/>
          <w:szCs w:val="24"/>
        </w:rPr>
        <w:t>. Принятые при проведении оценки объекта оценки допущения.</w:t>
      </w:r>
    </w:p>
    <w:p w:rsidR="00822FC1" w:rsidRPr="0093071A" w:rsidRDefault="00822FC1" w:rsidP="00822FC1">
      <w:pPr>
        <w:pStyle w:val="ConsPlusNormal"/>
        <w:ind w:firstLine="567"/>
        <w:jc w:val="both"/>
      </w:pPr>
      <w:r w:rsidRPr="0093071A">
        <w:t>1. Настоящее решение об оценке не может быть использовано иначе, чем в соответствии с целями и задачами проведения оценки объекта.</w:t>
      </w:r>
    </w:p>
    <w:p w:rsidR="00822FC1" w:rsidRPr="0093071A" w:rsidRDefault="00822FC1" w:rsidP="00822FC1">
      <w:pPr>
        <w:pStyle w:val="ConsPlusNormal"/>
        <w:ind w:firstLine="567"/>
        <w:jc w:val="both"/>
      </w:pPr>
      <w:r w:rsidRPr="0093071A">
        <w:t>2. При проведении оценки объекта предполагалось отсутствие каких-либо скрытых факторов, прямо или косвенно влияющих на итоговую величину стоимости объекта.</w:t>
      </w:r>
    </w:p>
    <w:p w:rsidR="00822FC1" w:rsidRPr="0093071A" w:rsidRDefault="00822FC1" w:rsidP="00822FC1">
      <w:pPr>
        <w:pStyle w:val="ConsPlusNormal"/>
        <w:ind w:firstLine="567"/>
        <w:jc w:val="both"/>
      </w:pPr>
      <w:r w:rsidRPr="0093071A">
        <w:t xml:space="preserve">3. </w:t>
      </w:r>
      <w:r>
        <w:t>Конкурсный</w:t>
      </w:r>
      <w:r w:rsidRPr="0093071A">
        <w:t xml:space="preserve"> управляющий, используя при проведении оценки объекта документы и информацию, полученные от должника, а также из иных источников, не удостоверяет фактов, изложенных </w:t>
      </w:r>
      <w:proofErr w:type="gramStart"/>
      <w:r w:rsidRPr="0093071A">
        <w:t>в таких документах</w:t>
      </w:r>
      <w:proofErr w:type="gramEnd"/>
      <w:r w:rsidRPr="0093071A">
        <w:t xml:space="preserve"> либо содержащихся в составе такой информации.</w:t>
      </w:r>
    </w:p>
    <w:p w:rsidR="00822FC1" w:rsidRPr="0093071A" w:rsidRDefault="00822FC1" w:rsidP="00822FC1">
      <w:pPr>
        <w:pStyle w:val="ConsPlusNormal"/>
        <w:ind w:firstLine="567"/>
        <w:jc w:val="both"/>
      </w:pPr>
      <w:r w:rsidRPr="0093071A">
        <w:t>4. Использованные при проведении оценки объекта данные принимаются за достоверные, при этом ответственность за соответствие действительности и формальную силу таких данных несут владельцы источников их получения.</w:t>
      </w:r>
    </w:p>
    <w:p w:rsidR="00822FC1" w:rsidRPr="0093071A" w:rsidRDefault="00822FC1" w:rsidP="00822FC1">
      <w:pPr>
        <w:pStyle w:val="ConsPlusNormal"/>
        <w:ind w:firstLine="567"/>
        <w:jc w:val="both"/>
      </w:pPr>
      <w:r w:rsidRPr="0093071A">
        <w:t>5. Объект предполагается свободным от прав третьих лиц, за исключением случаев, если настоящим решением об оценке установлено иное.</w:t>
      </w:r>
    </w:p>
    <w:p w:rsidR="00822FC1" w:rsidRPr="0093071A" w:rsidRDefault="00822FC1" w:rsidP="00822FC1">
      <w:pPr>
        <w:pStyle w:val="ConsPlusNormal"/>
        <w:ind w:firstLine="567"/>
        <w:jc w:val="both"/>
      </w:pPr>
      <w:r w:rsidRPr="0093071A">
        <w:t>6. Итоговая величина стоимости объекта является действительной исключительно на дату определения стоимости объекта.</w:t>
      </w:r>
    </w:p>
    <w:p w:rsidR="00822FC1" w:rsidRPr="0093071A" w:rsidRDefault="00822FC1" w:rsidP="00822FC1">
      <w:pPr>
        <w:pStyle w:val="ConsPlusNormal"/>
        <w:ind w:firstLine="567"/>
        <w:jc w:val="both"/>
      </w:pPr>
      <w:r w:rsidRPr="0093071A">
        <w:t xml:space="preserve">7. Сведения, выводы и заключения, содержащиеся в настоящем решением об оценке, касающиеся методов и способов проведения оценки, а также итоговой величины стоимости объекта оценки, относятся к профессиональному мнению финансового управляющего, </w:t>
      </w:r>
      <w:r w:rsidRPr="0093071A">
        <w:lastRenderedPageBreak/>
        <w:t>основанному на знаниях в области оценочной деятельности и соответствующей подготовке.</w:t>
      </w:r>
    </w:p>
    <w:p w:rsidR="00822FC1" w:rsidRPr="0093071A" w:rsidRDefault="00822FC1" w:rsidP="00822FC1">
      <w:pPr>
        <w:pStyle w:val="ConsPlusNormal"/>
        <w:ind w:firstLine="567"/>
        <w:jc w:val="both"/>
      </w:pPr>
    </w:p>
    <w:p w:rsidR="00822FC1" w:rsidRPr="0093071A" w:rsidRDefault="00822FC1" w:rsidP="00822FC1">
      <w:pPr>
        <w:pStyle w:val="ConsPlusNormal"/>
        <w:ind w:firstLine="567"/>
        <w:jc w:val="both"/>
        <w:rPr>
          <w:b/>
        </w:rPr>
      </w:pPr>
      <w:r w:rsidRPr="0093071A">
        <w:rPr>
          <w:b/>
          <w:lang w:val="en-US"/>
        </w:rPr>
        <w:t>VII</w:t>
      </w:r>
      <w:r w:rsidRPr="0093071A">
        <w:rPr>
          <w:b/>
        </w:rPr>
        <w:t>. Выводы.</w:t>
      </w:r>
    </w:p>
    <w:p w:rsidR="00822FC1" w:rsidRPr="00844458" w:rsidRDefault="00822FC1" w:rsidP="00822FC1">
      <w:pPr>
        <w:spacing w:before="120" w:line="276" w:lineRule="auto"/>
        <w:ind w:right="5" w:firstLine="720"/>
        <w:jc w:val="both"/>
        <w:rPr>
          <w:snapToGrid w:val="0"/>
          <w:szCs w:val="24"/>
        </w:rPr>
      </w:pPr>
      <w:r w:rsidRPr="00844458">
        <w:rPr>
          <w:snapToGrid w:val="0"/>
          <w:szCs w:val="24"/>
        </w:rPr>
        <w:t xml:space="preserve">При определении рыночной стоимости имущества </w:t>
      </w:r>
      <w:r>
        <w:rPr>
          <w:snapToGrid w:val="0"/>
          <w:szCs w:val="24"/>
        </w:rPr>
        <w:t xml:space="preserve">возможно </w:t>
      </w:r>
      <w:r w:rsidRPr="00844458">
        <w:rPr>
          <w:snapToGrid w:val="0"/>
          <w:szCs w:val="24"/>
        </w:rPr>
        <w:t>использ</w:t>
      </w:r>
      <w:r>
        <w:rPr>
          <w:snapToGrid w:val="0"/>
          <w:szCs w:val="24"/>
        </w:rPr>
        <w:t>ование</w:t>
      </w:r>
      <w:r w:rsidRPr="00844458">
        <w:rPr>
          <w:snapToGrid w:val="0"/>
          <w:szCs w:val="24"/>
        </w:rPr>
        <w:t xml:space="preserve"> тр</w:t>
      </w:r>
      <w:r>
        <w:rPr>
          <w:snapToGrid w:val="0"/>
          <w:szCs w:val="24"/>
        </w:rPr>
        <w:t xml:space="preserve">ех методологических подходов к оценке: </w:t>
      </w:r>
      <w:r w:rsidRPr="00844458">
        <w:rPr>
          <w:snapToGrid w:val="0"/>
          <w:szCs w:val="24"/>
        </w:rPr>
        <w:t>затратн</w:t>
      </w:r>
      <w:r>
        <w:rPr>
          <w:snapToGrid w:val="0"/>
          <w:szCs w:val="24"/>
        </w:rPr>
        <w:t>ого, сравнительного и доходного</w:t>
      </w:r>
      <w:r w:rsidRPr="00844458">
        <w:rPr>
          <w:snapToGrid w:val="0"/>
          <w:szCs w:val="24"/>
        </w:rPr>
        <w:t>.</w:t>
      </w:r>
    </w:p>
    <w:p w:rsidR="00822FC1" w:rsidRPr="0093071A" w:rsidRDefault="00822FC1" w:rsidP="00822FC1">
      <w:pPr>
        <w:pStyle w:val="ConsPlusNormal"/>
        <w:ind w:firstLine="567"/>
        <w:jc w:val="both"/>
      </w:pPr>
      <w:r w:rsidRPr="0093071A">
        <w:t>Затратный подход не применялся, так как определить затраты, необходимые для приобретения, воспроизводств</w:t>
      </w:r>
      <w:r>
        <w:t>а либо замещения объекта оценки</w:t>
      </w:r>
      <w:r w:rsidRPr="0093071A">
        <w:t>, в связи с отсутствием достоверной информации, позволяющей определить затраты на приобретение, воспроизводство либо замещение объекта оценки.</w:t>
      </w:r>
    </w:p>
    <w:p w:rsidR="00822FC1" w:rsidRDefault="00822FC1" w:rsidP="00822FC1">
      <w:pPr>
        <w:pStyle w:val="ConsPlusNormal"/>
        <w:ind w:firstLine="567"/>
        <w:jc w:val="both"/>
      </w:pPr>
      <w:r w:rsidRPr="0093071A">
        <w:t xml:space="preserve">Доходный подход не применялся, так как определить ожидаемые доходы от использования объекта оценки </w:t>
      </w:r>
      <w:proofErr w:type="gramStart"/>
      <w:r w:rsidRPr="0093071A">
        <w:t>не возможно</w:t>
      </w:r>
      <w:proofErr w:type="gramEnd"/>
      <w:r w:rsidRPr="0093071A">
        <w:t>, в связи с отсутствием достоверной информации, позволяющей прогнозировать будущие доходы, которые объект оценки способен приносить.</w:t>
      </w:r>
    </w:p>
    <w:p w:rsidR="00822FC1" w:rsidRPr="00FB1E9A" w:rsidRDefault="00822FC1" w:rsidP="00822FC1">
      <w:pPr>
        <w:spacing w:line="276" w:lineRule="auto"/>
        <w:ind w:firstLine="708"/>
        <w:jc w:val="both"/>
        <w:rPr>
          <w:snapToGrid w:val="0"/>
          <w:szCs w:val="24"/>
        </w:rPr>
      </w:pPr>
      <w:r w:rsidRPr="00822FC1">
        <w:rPr>
          <w:snapToGrid w:val="0"/>
          <w:szCs w:val="24"/>
        </w:rPr>
        <w:t xml:space="preserve">Сравнительный подход </w:t>
      </w:r>
      <w:r>
        <w:rPr>
          <w:snapToGrid w:val="0"/>
          <w:szCs w:val="24"/>
        </w:rPr>
        <w:t xml:space="preserve">при оценке дебиторской задолженности базируется на рыночной информации и учитывает текущее, действия потенциальных продавцов и покупателей. Сравнительный подход оценки стоимости активов использует методы, основанные на сравнении объекта оценки с обетами-аналогами, изучении реальных сделок с подобными активами, как собственника, так и </w:t>
      </w:r>
      <w:r w:rsidRPr="00FB1E9A">
        <w:rPr>
          <w:snapToGrid w:val="0"/>
          <w:szCs w:val="24"/>
        </w:rPr>
        <w:t>активов предприятий-аналогов.</w:t>
      </w:r>
    </w:p>
    <w:p w:rsidR="00822FC1" w:rsidRDefault="00822FC1" w:rsidP="00822FC1">
      <w:pPr>
        <w:spacing w:line="276" w:lineRule="auto"/>
        <w:ind w:firstLine="640"/>
        <w:jc w:val="both"/>
        <w:rPr>
          <w:snapToGrid w:val="0"/>
          <w:szCs w:val="24"/>
        </w:rPr>
      </w:pPr>
      <w:r>
        <w:rPr>
          <w:snapToGrid w:val="0"/>
          <w:szCs w:val="24"/>
        </w:rPr>
        <w:t>Стоимость дебиторской задолженности зависит от типа дебитора, условий, оснований и причин возникновения самой дебиторской задолженности, так как данные параметры уникальны для каждой дебиторской задолженности.</w:t>
      </w:r>
    </w:p>
    <w:p w:rsidR="00822FC1" w:rsidRPr="0093071A" w:rsidRDefault="00822FC1" w:rsidP="00822FC1">
      <w:pPr>
        <w:pStyle w:val="ConsPlusNormal"/>
        <w:ind w:firstLine="567"/>
        <w:jc w:val="both"/>
      </w:pPr>
    </w:p>
    <w:p w:rsidR="00E46E7A" w:rsidRDefault="00E46E7A" w:rsidP="00E46E7A">
      <w:pPr>
        <w:jc w:val="both"/>
        <w:rPr>
          <w:szCs w:val="24"/>
        </w:rPr>
      </w:pPr>
    </w:p>
    <w:p w:rsidR="00E46E7A" w:rsidRDefault="002808EE" w:rsidP="00E46E7A">
      <w:pPr>
        <w:spacing w:line="276" w:lineRule="auto"/>
        <w:ind w:right="5" w:firstLine="720"/>
        <w:jc w:val="both"/>
        <w:rPr>
          <w:snapToGrid w:val="0"/>
          <w:szCs w:val="24"/>
        </w:rPr>
      </w:pPr>
      <w:r>
        <w:rPr>
          <w:snapToGrid w:val="0"/>
          <w:szCs w:val="24"/>
        </w:rPr>
        <w:t>Финансовый</w:t>
      </w:r>
      <w:r w:rsidR="00E46E7A">
        <w:rPr>
          <w:snapToGrid w:val="0"/>
          <w:szCs w:val="24"/>
        </w:rPr>
        <w:t xml:space="preserve"> управляющий принял решение об использовании сравнительного подхода, при оценке стоимости</w:t>
      </w:r>
      <w:r w:rsidR="00822FC1">
        <w:rPr>
          <w:snapToGrid w:val="0"/>
          <w:szCs w:val="24"/>
        </w:rPr>
        <w:t xml:space="preserve"> прав требований</w:t>
      </w:r>
      <w:r w:rsidR="00E46E7A">
        <w:rPr>
          <w:snapToGrid w:val="0"/>
          <w:szCs w:val="24"/>
        </w:rPr>
        <w:t xml:space="preserve"> дебиторской задолженности.</w:t>
      </w:r>
    </w:p>
    <w:p w:rsidR="00822FC1" w:rsidRPr="0093071A" w:rsidRDefault="00822FC1" w:rsidP="00822FC1">
      <w:pPr>
        <w:pStyle w:val="ConsPlusNormal"/>
        <w:ind w:firstLine="567"/>
        <w:jc w:val="both"/>
      </w:pPr>
      <w:r>
        <w:t>С</w:t>
      </w:r>
      <w:r w:rsidRPr="0093071A">
        <w:t>равнительный подход - основанный на получении стоимости объекта оценки путем сравнения оцениваемого объекта с объектами-аналогами.</w:t>
      </w:r>
    </w:p>
    <w:p w:rsidR="00E46E7A" w:rsidRDefault="00E46E7A" w:rsidP="00E46E7A">
      <w:pPr>
        <w:spacing w:line="276" w:lineRule="auto"/>
        <w:ind w:right="5" w:firstLine="720"/>
        <w:jc w:val="both"/>
        <w:rPr>
          <w:snapToGrid w:val="0"/>
          <w:szCs w:val="24"/>
        </w:rPr>
      </w:pPr>
      <w:r>
        <w:rPr>
          <w:snapToGrid w:val="0"/>
          <w:szCs w:val="24"/>
        </w:rPr>
        <w:t>В качестве аналогов использовались сведения ЕФРСБ о реализации дебиторской задолженности в процедур</w:t>
      </w:r>
      <w:r w:rsidR="00822FC1">
        <w:rPr>
          <w:snapToGrid w:val="0"/>
          <w:szCs w:val="24"/>
        </w:rPr>
        <w:t>ах</w:t>
      </w:r>
      <w:r>
        <w:rPr>
          <w:snapToGrid w:val="0"/>
          <w:szCs w:val="24"/>
        </w:rPr>
        <w:t xml:space="preserve"> конкурсного производства.</w:t>
      </w:r>
    </w:p>
    <w:p w:rsidR="00E46E7A" w:rsidRDefault="00E46E7A" w:rsidP="00E46E7A">
      <w:pPr>
        <w:spacing w:line="276" w:lineRule="auto"/>
        <w:ind w:right="5" w:firstLine="720"/>
        <w:jc w:val="both"/>
        <w:rPr>
          <w:snapToGrid w:val="0"/>
          <w:szCs w:val="24"/>
        </w:rPr>
      </w:pPr>
      <w:r>
        <w:rPr>
          <w:snapToGrid w:val="0"/>
          <w:szCs w:val="24"/>
        </w:rPr>
        <w:t xml:space="preserve">На основании </w:t>
      </w:r>
      <w:r w:rsidR="004535F3">
        <w:rPr>
          <w:snapToGrid w:val="0"/>
          <w:szCs w:val="24"/>
        </w:rPr>
        <w:t>представленных аналогов, номинальной стоимости</w:t>
      </w:r>
      <w:r w:rsidR="00822FC1">
        <w:rPr>
          <w:snapToGrid w:val="0"/>
          <w:szCs w:val="24"/>
        </w:rPr>
        <w:t xml:space="preserve"> прав требований</w:t>
      </w:r>
      <w:r w:rsidR="004535F3">
        <w:rPr>
          <w:snapToGrid w:val="0"/>
          <w:szCs w:val="24"/>
        </w:rPr>
        <w:t xml:space="preserve"> и цены продажи рассчитан </w:t>
      </w:r>
      <w:proofErr w:type="spellStart"/>
      <w:r w:rsidR="004535F3">
        <w:rPr>
          <w:snapToGrid w:val="0"/>
          <w:szCs w:val="24"/>
        </w:rPr>
        <w:t>кооэфициент</w:t>
      </w:r>
      <w:proofErr w:type="spellEnd"/>
      <w:r w:rsidR="004535F3">
        <w:rPr>
          <w:snapToGrid w:val="0"/>
          <w:szCs w:val="24"/>
        </w:rPr>
        <w:t xml:space="preserve"> о</w:t>
      </w:r>
      <w:r w:rsidR="004535F3" w:rsidRPr="004535F3">
        <w:rPr>
          <w:snapToGrid w:val="0"/>
          <w:szCs w:val="24"/>
        </w:rPr>
        <w:t>тношение цены сделки к номинальной стоимости</w:t>
      </w:r>
      <w:r w:rsidR="004535F3">
        <w:rPr>
          <w:snapToGrid w:val="0"/>
          <w:szCs w:val="24"/>
        </w:rPr>
        <w:t>, который использовался для определения стоимости прав требований должника к контрагентам.</w:t>
      </w:r>
    </w:p>
    <w:p w:rsidR="004535F3" w:rsidRDefault="004535F3" w:rsidP="004535F3">
      <w:pPr>
        <w:spacing w:line="276" w:lineRule="auto"/>
        <w:jc w:val="both"/>
        <w:rPr>
          <w:snapToGrid w:val="0"/>
          <w:szCs w:val="24"/>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2808EE" w:rsidRDefault="002808EE" w:rsidP="004535F3">
      <w:pPr>
        <w:spacing w:line="300" w:lineRule="auto"/>
        <w:ind w:firstLine="709"/>
        <w:jc w:val="center"/>
        <w:rPr>
          <w:b/>
          <w:sz w:val="22"/>
          <w:szCs w:val="22"/>
        </w:rPr>
      </w:pPr>
    </w:p>
    <w:p w:rsidR="004535F3" w:rsidRDefault="004535F3" w:rsidP="004535F3">
      <w:pPr>
        <w:spacing w:line="300" w:lineRule="auto"/>
        <w:ind w:firstLine="709"/>
        <w:jc w:val="center"/>
        <w:rPr>
          <w:b/>
          <w:sz w:val="22"/>
          <w:szCs w:val="22"/>
        </w:rPr>
      </w:pPr>
      <w:r w:rsidRPr="00CC513E">
        <w:rPr>
          <w:b/>
          <w:sz w:val="22"/>
          <w:szCs w:val="22"/>
        </w:rPr>
        <w:lastRenderedPageBreak/>
        <w:t>Анализ предложений по продаже права требования дебиторской задолженности</w:t>
      </w:r>
    </w:p>
    <w:p w:rsidR="003D6040" w:rsidRDefault="003D6040" w:rsidP="004535F3">
      <w:pPr>
        <w:spacing w:line="300" w:lineRule="auto"/>
        <w:ind w:firstLine="709"/>
        <w:jc w:val="center"/>
        <w:rPr>
          <w:b/>
          <w:sz w:val="22"/>
          <w:szCs w:val="22"/>
        </w:rPr>
      </w:pPr>
    </w:p>
    <w:p w:rsidR="003D6040" w:rsidRDefault="003D6040" w:rsidP="003D6040">
      <w:pPr>
        <w:spacing w:line="300" w:lineRule="auto"/>
        <w:ind w:firstLine="709"/>
        <w:jc w:val="center"/>
        <w:rPr>
          <w:b/>
          <w:sz w:val="22"/>
          <w:szCs w:val="22"/>
        </w:rPr>
      </w:pPr>
    </w:p>
    <w:p w:rsidR="003D6040" w:rsidRDefault="003D6040" w:rsidP="003D6040">
      <w:pPr>
        <w:spacing w:line="300" w:lineRule="auto"/>
        <w:ind w:firstLine="709"/>
        <w:jc w:val="center"/>
        <w:rPr>
          <w:b/>
          <w:sz w:val="22"/>
          <w:szCs w:val="22"/>
        </w:rPr>
      </w:pPr>
    </w:p>
    <w:p w:rsidR="003D6040" w:rsidRDefault="003D6040" w:rsidP="003D6040">
      <w:pPr>
        <w:spacing w:line="300" w:lineRule="auto"/>
        <w:ind w:firstLine="709"/>
        <w:jc w:val="center"/>
        <w:rPr>
          <w:b/>
          <w:sz w:val="22"/>
          <w:szCs w:val="22"/>
        </w:rPr>
      </w:pPr>
    </w:p>
    <w:tbl>
      <w:tblPr>
        <w:tblW w:w="9498" w:type="dxa"/>
        <w:tblInd w:w="-5" w:type="dxa"/>
        <w:tblLayout w:type="fixed"/>
        <w:tblLook w:val="04A0" w:firstRow="1" w:lastRow="0" w:firstColumn="1" w:lastColumn="0" w:noHBand="0" w:noVBand="1"/>
      </w:tblPr>
      <w:tblGrid>
        <w:gridCol w:w="567"/>
        <w:gridCol w:w="2410"/>
        <w:gridCol w:w="1843"/>
        <w:gridCol w:w="1843"/>
        <w:gridCol w:w="1417"/>
        <w:gridCol w:w="1418"/>
      </w:tblGrid>
      <w:tr w:rsidR="003D6040" w:rsidRPr="00077100" w:rsidTr="00C12842">
        <w:trPr>
          <w:trHeight w:val="114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 xml:space="preserve">№ </w:t>
            </w:r>
            <w:proofErr w:type="spellStart"/>
            <w:r w:rsidRPr="00077100">
              <w:rPr>
                <w:b/>
                <w:bCs/>
                <w:color w:val="000000"/>
                <w:sz w:val="18"/>
                <w:szCs w:val="18"/>
              </w:rPr>
              <w:t>п.п</w:t>
            </w:r>
            <w:proofErr w:type="spellEnd"/>
            <w:r w:rsidRPr="00077100">
              <w:rPr>
                <w:b/>
                <w:bCs/>
                <w:color w:val="000000"/>
                <w:sz w:val="18"/>
                <w:szCs w:val="18"/>
              </w:rPr>
              <w:t>.</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Организатор торгов</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Лот</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Номинальная стоимость задолженности, руб.</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Цена сделки, руб.</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3D6040" w:rsidRPr="00077100" w:rsidRDefault="003D6040" w:rsidP="00C12842">
            <w:pPr>
              <w:jc w:val="center"/>
              <w:rPr>
                <w:b/>
                <w:bCs/>
                <w:color w:val="000000"/>
                <w:sz w:val="18"/>
                <w:szCs w:val="18"/>
              </w:rPr>
            </w:pPr>
            <w:r w:rsidRPr="00077100">
              <w:rPr>
                <w:b/>
                <w:bCs/>
                <w:color w:val="000000"/>
                <w:sz w:val="18"/>
                <w:szCs w:val="18"/>
              </w:rPr>
              <w:t>Отношение цены сделки к номинальной стоимости</w:t>
            </w:r>
          </w:p>
        </w:tc>
      </w:tr>
      <w:tr w:rsidR="003D6040" w:rsidRPr="00077100" w:rsidTr="00C12842">
        <w:trPr>
          <w:trHeight w:val="18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D6040" w:rsidRPr="00A31E39" w:rsidRDefault="003D6040" w:rsidP="00C12842">
            <w:pPr>
              <w:jc w:val="right"/>
              <w:rPr>
                <w:sz w:val="20"/>
              </w:rPr>
            </w:pPr>
            <w:r w:rsidRPr="00A31E39">
              <w:rPr>
                <w:sz w:val="20"/>
              </w:rPr>
              <w:t>1</w:t>
            </w:r>
          </w:p>
        </w:tc>
        <w:tc>
          <w:tcPr>
            <w:tcW w:w="2410" w:type="dxa"/>
            <w:tcBorders>
              <w:top w:val="nil"/>
              <w:left w:val="nil"/>
              <w:bottom w:val="single" w:sz="4" w:space="0" w:color="auto"/>
              <w:right w:val="single" w:sz="4" w:space="0" w:color="auto"/>
            </w:tcBorders>
            <w:shd w:val="clear" w:color="auto" w:fill="auto"/>
            <w:vAlign w:val="center"/>
            <w:hideMark/>
          </w:tcPr>
          <w:p w:rsidR="003D6040" w:rsidRPr="00A31E39" w:rsidRDefault="003D6040" w:rsidP="00C12842">
            <w:pPr>
              <w:rPr>
                <w:sz w:val="20"/>
              </w:rPr>
            </w:pPr>
            <w:r w:rsidRPr="00A31E39">
              <w:rPr>
                <w:sz w:val="20"/>
              </w:rPr>
              <w:t>Должник: ОБЩЕСТВО С ОГРАНИЧЕННОЙ ОТВЕТСТВЕННОСТЬЮ "ДОМОСТРОЙ СЕРВИС", Арбитражный управляющий Семенова Полина Валерьевна</w:t>
            </w:r>
          </w:p>
        </w:tc>
        <w:tc>
          <w:tcPr>
            <w:tcW w:w="1843" w:type="dxa"/>
            <w:tcBorders>
              <w:top w:val="nil"/>
              <w:left w:val="nil"/>
              <w:bottom w:val="single" w:sz="4" w:space="0" w:color="auto"/>
              <w:right w:val="single" w:sz="4" w:space="0" w:color="auto"/>
            </w:tcBorders>
            <w:shd w:val="clear" w:color="auto" w:fill="auto"/>
            <w:vAlign w:val="center"/>
            <w:hideMark/>
          </w:tcPr>
          <w:p w:rsidR="003D6040" w:rsidRPr="00A31E39" w:rsidRDefault="003D6040" w:rsidP="00C12842">
            <w:pPr>
              <w:jc w:val="center"/>
              <w:rPr>
                <w:sz w:val="20"/>
              </w:rPr>
            </w:pPr>
            <w:r w:rsidRPr="00A31E39">
              <w:rPr>
                <w:sz w:val="20"/>
              </w:rPr>
              <w:t>Задолженность физических лиц по коммунальным платежам в размере 1 564 505,85 руб.</w:t>
            </w:r>
          </w:p>
        </w:tc>
        <w:tc>
          <w:tcPr>
            <w:tcW w:w="1843" w:type="dxa"/>
            <w:tcBorders>
              <w:top w:val="nil"/>
              <w:left w:val="nil"/>
              <w:bottom w:val="single" w:sz="4" w:space="0" w:color="auto"/>
              <w:right w:val="single" w:sz="4" w:space="0" w:color="auto"/>
            </w:tcBorders>
            <w:shd w:val="clear" w:color="auto" w:fill="auto"/>
            <w:vAlign w:val="center"/>
            <w:hideMark/>
          </w:tcPr>
          <w:p w:rsidR="003D6040" w:rsidRPr="00A31E39" w:rsidRDefault="003D6040" w:rsidP="00C12842">
            <w:pPr>
              <w:jc w:val="center"/>
              <w:rPr>
                <w:sz w:val="20"/>
              </w:rPr>
            </w:pPr>
            <w:r w:rsidRPr="00A31E39">
              <w:rPr>
                <w:sz w:val="20"/>
              </w:rPr>
              <w:t>1 564 505,85</w:t>
            </w:r>
          </w:p>
        </w:tc>
        <w:tc>
          <w:tcPr>
            <w:tcW w:w="1417" w:type="dxa"/>
            <w:tcBorders>
              <w:top w:val="nil"/>
              <w:left w:val="nil"/>
              <w:bottom w:val="single" w:sz="4" w:space="0" w:color="auto"/>
              <w:right w:val="single" w:sz="4" w:space="0" w:color="auto"/>
            </w:tcBorders>
            <w:shd w:val="clear" w:color="auto" w:fill="auto"/>
            <w:vAlign w:val="center"/>
            <w:hideMark/>
          </w:tcPr>
          <w:p w:rsidR="003D6040" w:rsidRPr="00A31E39" w:rsidRDefault="003D6040" w:rsidP="00C12842">
            <w:pPr>
              <w:jc w:val="center"/>
              <w:rPr>
                <w:sz w:val="20"/>
              </w:rPr>
            </w:pPr>
            <w:r w:rsidRPr="00A31E39">
              <w:rPr>
                <w:sz w:val="20"/>
              </w:rPr>
              <w:t>101 000,00</w:t>
            </w:r>
          </w:p>
        </w:tc>
        <w:tc>
          <w:tcPr>
            <w:tcW w:w="1418"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rsidRPr="00A31E39">
              <w:rPr>
                <w:sz w:val="20"/>
              </w:rPr>
              <w:t>0,06</w:t>
            </w:r>
            <w:r>
              <w:rPr>
                <w:sz w:val="20"/>
              </w:rPr>
              <w:t>6</w:t>
            </w:r>
          </w:p>
        </w:tc>
      </w:tr>
      <w:tr w:rsidR="003D6040" w:rsidRPr="00077100" w:rsidTr="00C12842">
        <w:trPr>
          <w:trHeight w:val="18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D6040" w:rsidRPr="00A31E39" w:rsidRDefault="003D6040" w:rsidP="00C12842">
            <w:pPr>
              <w:jc w:val="right"/>
              <w:rPr>
                <w:sz w:val="20"/>
              </w:rPr>
            </w:pPr>
            <w:r w:rsidRPr="00A31E39">
              <w:rPr>
                <w:sz w:val="20"/>
              </w:rPr>
              <w:t>2</w:t>
            </w:r>
          </w:p>
        </w:tc>
        <w:tc>
          <w:tcPr>
            <w:tcW w:w="2410" w:type="dxa"/>
            <w:tcBorders>
              <w:top w:val="nil"/>
              <w:left w:val="nil"/>
              <w:bottom w:val="single" w:sz="4" w:space="0" w:color="auto"/>
              <w:right w:val="single" w:sz="4" w:space="0" w:color="auto"/>
            </w:tcBorders>
            <w:shd w:val="clear" w:color="auto" w:fill="auto"/>
            <w:vAlign w:val="center"/>
          </w:tcPr>
          <w:p w:rsidR="003D6040" w:rsidRPr="0043030A" w:rsidRDefault="003D6040" w:rsidP="00C12842">
            <w:pPr>
              <w:rPr>
                <w:sz w:val="20"/>
              </w:rPr>
            </w:pPr>
            <w:r>
              <w:rPr>
                <w:sz w:val="20"/>
              </w:rPr>
              <w:t xml:space="preserve">Должник </w:t>
            </w:r>
            <w:r w:rsidRPr="0043030A">
              <w:rPr>
                <w:sz w:val="20"/>
              </w:rPr>
              <w:t>ОБЩЕСТВО С ОГРАНИЧЕННОЙ ОТВЕТСТВЕННОСТЬЮ "БУЕР"</w:t>
            </w:r>
          </w:p>
          <w:p w:rsidR="003D6040" w:rsidRPr="00A31E39" w:rsidRDefault="003D6040" w:rsidP="00C12842">
            <w:pPr>
              <w:rPr>
                <w:sz w:val="20"/>
              </w:rPr>
            </w:pPr>
            <w:r>
              <w:rPr>
                <w:sz w:val="20"/>
              </w:rPr>
              <w:t xml:space="preserve">Арбитражный управляющий </w:t>
            </w:r>
            <w:r w:rsidRPr="0043030A">
              <w:rPr>
                <w:sz w:val="20"/>
              </w:rPr>
              <w:t>Горбачева Наталия Викторовна</w:t>
            </w:r>
          </w:p>
        </w:tc>
        <w:tc>
          <w:tcPr>
            <w:tcW w:w="1843"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t xml:space="preserve">Право требования к ИП Глава КФХ </w:t>
            </w:r>
            <w:proofErr w:type="spellStart"/>
            <w:r>
              <w:t>Эйзенбарт</w:t>
            </w:r>
            <w:proofErr w:type="spellEnd"/>
            <w:r>
              <w:t xml:space="preserve"> Д.П. (ИНН 732899746251) в размере 5 949 200 </w:t>
            </w:r>
            <w:proofErr w:type="spellStart"/>
            <w:r>
              <w:t>руб</w:t>
            </w:r>
            <w:proofErr w:type="spellEnd"/>
            <w:r>
              <w:t xml:space="preserve"> Право требования к ИП Глава КФХ </w:t>
            </w:r>
            <w:proofErr w:type="spellStart"/>
            <w:r>
              <w:t>Эйзенбарт</w:t>
            </w:r>
            <w:proofErr w:type="spellEnd"/>
            <w:r>
              <w:t xml:space="preserve"> Д.П. (ИНН 732899746251) в размере 5 949 200 руб.</w:t>
            </w:r>
          </w:p>
        </w:tc>
        <w:tc>
          <w:tcPr>
            <w:tcW w:w="1843"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t>5 949 200</w:t>
            </w:r>
          </w:p>
        </w:tc>
        <w:tc>
          <w:tcPr>
            <w:tcW w:w="1417"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t>1 221 999,99</w:t>
            </w:r>
          </w:p>
        </w:tc>
        <w:tc>
          <w:tcPr>
            <w:tcW w:w="1418"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rsidRPr="00A31E39">
              <w:rPr>
                <w:sz w:val="20"/>
              </w:rPr>
              <w:t>0</w:t>
            </w:r>
            <w:r>
              <w:rPr>
                <w:sz w:val="20"/>
              </w:rPr>
              <w:t>,206</w:t>
            </w:r>
          </w:p>
        </w:tc>
      </w:tr>
      <w:tr w:rsidR="003D6040" w:rsidRPr="00077100" w:rsidTr="00C12842">
        <w:trPr>
          <w:trHeight w:val="211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D6040" w:rsidRPr="00A31E39" w:rsidRDefault="003D6040" w:rsidP="00C12842">
            <w:pPr>
              <w:jc w:val="right"/>
              <w:rPr>
                <w:sz w:val="20"/>
              </w:rPr>
            </w:pPr>
            <w:r w:rsidRPr="00A31E39">
              <w:rPr>
                <w:sz w:val="20"/>
              </w:rPr>
              <w:t>3</w:t>
            </w:r>
          </w:p>
        </w:tc>
        <w:tc>
          <w:tcPr>
            <w:tcW w:w="2410" w:type="dxa"/>
            <w:tcBorders>
              <w:top w:val="nil"/>
              <w:left w:val="nil"/>
              <w:bottom w:val="single" w:sz="4" w:space="0" w:color="auto"/>
              <w:right w:val="single" w:sz="4" w:space="0" w:color="auto"/>
            </w:tcBorders>
            <w:shd w:val="clear" w:color="auto" w:fill="auto"/>
            <w:vAlign w:val="center"/>
          </w:tcPr>
          <w:p w:rsidR="003D6040" w:rsidRPr="0043030A" w:rsidRDefault="003D6040" w:rsidP="00C12842">
            <w:pPr>
              <w:rPr>
                <w:sz w:val="20"/>
              </w:rPr>
            </w:pPr>
            <w:r>
              <w:rPr>
                <w:sz w:val="20"/>
              </w:rPr>
              <w:t xml:space="preserve">Должник </w:t>
            </w:r>
            <w:r w:rsidRPr="0043030A">
              <w:rPr>
                <w:sz w:val="20"/>
              </w:rPr>
              <w:t>Горбунов Сергей Алексеевич</w:t>
            </w:r>
          </w:p>
          <w:p w:rsidR="003D6040" w:rsidRPr="00A31E39" w:rsidRDefault="003D6040" w:rsidP="00C12842">
            <w:pPr>
              <w:rPr>
                <w:sz w:val="20"/>
              </w:rPr>
            </w:pPr>
            <w:r>
              <w:rPr>
                <w:sz w:val="20"/>
              </w:rPr>
              <w:t xml:space="preserve">Арбитражный управляющий  </w:t>
            </w:r>
            <w:r w:rsidRPr="0043030A">
              <w:rPr>
                <w:sz w:val="20"/>
              </w:rPr>
              <w:t>Захаров Виктор Сергеевич</w:t>
            </w:r>
          </w:p>
        </w:tc>
        <w:tc>
          <w:tcPr>
            <w:tcW w:w="1843"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rsidRPr="0043030A">
              <w:rPr>
                <w:sz w:val="20"/>
              </w:rPr>
              <w:t>Право требования дебиторской задолженности Право требования дебиторской задолженности к Горбуновой Ирины Александровны на основании определения Арбитражного суда Ульяновской области от 28.12.2021г. по делу А72-13059/2020 в размере непогашенной суммы задолженности.</w:t>
            </w:r>
          </w:p>
        </w:tc>
        <w:tc>
          <w:tcPr>
            <w:tcW w:w="1843"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t>3 058 348,35</w:t>
            </w:r>
          </w:p>
        </w:tc>
        <w:tc>
          <w:tcPr>
            <w:tcW w:w="1417"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t>110 000,00</w:t>
            </w:r>
          </w:p>
        </w:tc>
        <w:tc>
          <w:tcPr>
            <w:tcW w:w="1418" w:type="dxa"/>
            <w:tcBorders>
              <w:top w:val="nil"/>
              <w:left w:val="nil"/>
              <w:bottom w:val="single" w:sz="4" w:space="0" w:color="auto"/>
              <w:right w:val="single" w:sz="4" w:space="0" w:color="auto"/>
            </w:tcBorders>
            <w:shd w:val="clear" w:color="auto" w:fill="auto"/>
            <w:vAlign w:val="center"/>
          </w:tcPr>
          <w:p w:rsidR="003D6040" w:rsidRPr="00A31E39" w:rsidRDefault="003D6040" w:rsidP="00C12842">
            <w:pPr>
              <w:jc w:val="center"/>
              <w:rPr>
                <w:sz w:val="20"/>
              </w:rPr>
            </w:pPr>
            <w:r w:rsidRPr="00A31E39">
              <w:rPr>
                <w:sz w:val="20"/>
              </w:rPr>
              <w:t>0,0</w:t>
            </w:r>
            <w:r>
              <w:rPr>
                <w:sz w:val="20"/>
              </w:rPr>
              <w:t>36</w:t>
            </w:r>
          </w:p>
        </w:tc>
      </w:tr>
      <w:tr w:rsidR="003D6040" w:rsidRPr="00077100" w:rsidTr="00C12842">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D6040" w:rsidRPr="00DC1FF3" w:rsidRDefault="003D6040" w:rsidP="00C12842">
            <w:pPr>
              <w:rPr>
                <w:color w:val="000000"/>
                <w:sz w:val="20"/>
              </w:rPr>
            </w:pPr>
            <w:r w:rsidRPr="00DC1FF3">
              <w:rPr>
                <w:color w:val="000000"/>
                <w:sz w:val="20"/>
              </w:rPr>
              <w:t> </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3D6040" w:rsidRPr="00DC1FF3" w:rsidRDefault="003D6040" w:rsidP="00C12842">
            <w:pPr>
              <w:rPr>
                <w:color w:val="000000"/>
                <w:sz w:val="20"/>
              </w:rPr>
            </w:pPr>
            <w:proofErr w:type="spellStart"/>
            <w:r w:rsidRPr="00DC1FF3">
              <w:rPr>
                <w:color w:val="000000"/>
                <w:sz w:val="20"/>
              </w:rPr>
              <w:t>Среднезвешанный</w:t>
            </w:r>
            <w:proofErr w:type="spellEnd"/>
            <w:r w:rsidRPr="00DC1FF3">
              <w:rPr>
                <w:color w:val="000000"/>
                <w:sz w:val="20"/>
              </w:rPr>
              <w:t xml:space="preserve"> </w:t>
            </w:r>
            <w:proofErr w:type="spellStart"/>
            <w:r w:rsidRPr="00DC1FF3">
              <w:rPr>
                <w:color w:val="000000"/>
                <w:sz w:val="20"/>
              </w:rPr>
              <w:t>кооэфициент</w:t>
            </w:r>
            <w:proofErr w:type="spellEnd"/>
          </w:p>
        </w:tc>
        <w:tc>
          <w:tcPr>
            <w:tcW w:w="1418" w:type="dxa"/>
            <w:tcBorders>
              <w:top w:val="nil"/>
              <w:left w:val="nil"/>
              <w:bottom w:val="single" w:sz="4" w:space="0" w:color="auto"/>
              <w:right w:val="single" w:sz="4" w:space="0" w:color="auto"/>
            </w:tcBorders>
            <w:shd w:val="clear" w:color="auto" w:fill="auto"/>
            <w:vAlign w:val="center"/>
          </w:tcPr>
          <w:p w:rsidR="003D6040" w:rsidRPr="00DC1FF3" w:rsidRDefault="003D6040" w:rsidP="00C12842">
            <w:pPr>
              <w:jc w:val="center"/>
              <w:rPr>
                <w:color w:val="000000"/>
                <w:sz w:val="20"/>
              </w:rPr>
            </w:pPr>
            <w:r w:rsidRPr="00DC1FF3">
              <w:rPr>
                <w:color w:val="000000"/>
                <w:sz w:val="20"/>
              </w:rPr>
              <w:t>0,</w:t>
            </w:r>
            <w:r>
              <w:rPr>
                <w:color w:val="000000"/>
                <w:sz w:val="20"/>
              </w:rPr>
              <w:t>103</w:t>
            </w:r>
          </w:p>
        </w:tc>
      </w:tr>
    </w:tbl>
    <w:p w:rsidR="003D6040" w:rsidRDefault="003D6040" w:rsidP="004535F3">
      <w:pPr>
        <w:spacing w:line="300" w:lineRule="auto"/>
        <w:ind w:firstLine="709"/>
        <w:jc w:val="center"/>
        <w:rPr>
          <w:b/>
          <w:sz w:val="22"/>
          <w:szCs w:val="22"/>
        </w:rPr>
      </w:pPr>
    </w:p>
    <w:p w:rsidR="004535F3" w:rsidRPr="00674CF7" w:rsidRDefault="004535F3" w:rsidP="004535F3">
      <w:pPr>
        <w:autoSpaceDE w:val="0"/>
        <w:autoSpaceDN w:val="0"/>
        <w:adjustRightInd w:val="0"/>
        <w:ind w:firstLine="709"/>
        <w:rPr>
          <w:color w:val="000000"/>
          <w:sz w:val="20"/>
        </w:rPr>
      </w:pPr>
      <w:r w:rsidRPr="00674CF7">
        <w:rPr>
          <w:i/>
          <w:iCs/>
          <w:color w:val="000000"/>
          <w:sz w:val="20"/>
        </w:rPr>
        <w:t>Источник: Единый федеральны</w:t>
      </w:r>
      <w:r>
        <w:rPr>
          <w:i/>
          <w:iCs/>
          <w:color w:val="000000"/>
          <w:sz w:val="20"/>
        </w:rPr>
        <w:t>й реестр сведений о банкротстве (</w:t>
      </w:r>
      <w:r w:rsidRPr="00674CF7">
        <w:rPr>
          <w:i/>
          <w:iCs/>
          <w:color w:val="000000"/>
          <w:sz w:val="20"/>
        </w:rPr>
        <w:t>bankrot.fedresurs.ru</w:t>
      </w:r>
      <w:r>
        <w:rPr>
          <w:i/>
          <w:iCs/>
          <w:color w:val="000000"/>
          <w:sz w:val="20"/>
        </w:rPr>
        <w:t>)</w:t>
      </w:r>
    </w:p>
    <w:p w:rsidR="004535F3" w:rsidRDefault="004535F3" w:rsidP="004535F3">
      <w:pPr>
        <w:spacing w:line="276" w:lineRule="auto"/>
        <w:jc w:val="both"/>
        <w:rPr>
          <w:snapToGrid w:val="0"/>
          <w:szCs w:val="24"/>
        </w:rPr>
      </w:pPr>
    </w:p>
    <w:p w:rsidR="00822FC1" w:rsidRDefault="00822FC1" w:rsidP="00822FC1">
      <w:pPr>
        <w:pStyle w:val="ConsPlusNormal"/>
        <w:ind w:firstLine="567"/>
        <w:jc w:val="both"/>
      </w:pPr>
      <w:r w:rsidRPr="0093071A">
        <w:t xml:space="preserve">На основании вышеизложенного, </w:t>
      </w:r>
      <w:r>
        <w:t>Конкурсный</w:t>
      </w:r>
      <w:r w:rsidRPr="0093071A">
        <w:t xml:space="preserve"> управляющий </w:t>
      </w:r>
      <w:r>
        <w:t>произвел расчет</w:t>
      </w:r>
      <w:r w:rsidRPr="0093071A">
        <w:t xml:space="preserve"> рыночн</w:t>
      </w:r>
      <w:r>
        <w:t>ой</w:t>
      </w:r>
      <w:r w:rsidRPr="0093071A">
        <w:t xml:space="preserve"> стоимост</w:t>
      </w:r>
      <w:r>
        <w:t>и</w:t>
      </w:r>
      <w:r w:rsidRPr="0093071A">
        <w:t xml:space="preserve"> имущества Должника:</w:t>
      </w:r>
    </w:p>
    <w:p w:rsidR="00384B55" w:rsidRDefault="00384B55" w:rsidP="00822FC1">
      <w:pPr>
        <w:pStyle w:val="ConsPlusNormal"/>
        <w:ind w:firstLine="567"/>
        <w:jc w:val="both"/>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1751"/>
        <w:gridCol w:w="1586"/>
        <w:gridCol w:w="1397"/>
      </w:tblGrid>
      <w:tr w:rsidR="004059E4" w:rsidRPr="00332619" w:rsidTr="003D6040">
        <w:trPr>
          <w:trHeight w:val="1152"/>
        </w:trPr>
        <w:tc>
          <w:tcPr>
            <w:tcW w:w="4615" w:type="dxa"/>
            <w:shd w:val="clear" w:color="auto" w:fill="auto"/>
            <w:vAlign w:val="bottom"/>
            <w:hideMark/>
          </w:tcPr>
          <w:p w:rsidR="00384B55" w:rsidRPr="00281953" w:rsidRDefault="00384B55" w:rsidP="00C11E83">
            <w:pPr>
              <w:jc w:val="center"/>
              <w:rPr>
                <w:szCs w:val="24"/>
              </w:rPr>
            </w:pPr>
            <w:r w:rsidRPr="00281953">
              <w:rPr>
                <w:szCs w:val="24"/>
              </w:rPr>
              <w:t>Наименование дебитора</w:t>
            </w:r>
          </w:p>
        </w:tc>
        <w:tc>
          <w:tcPr>
            <w:tcW w:w="1751" w:type="dxa"/>
            <w:shd w:val="clear" w:color="auto" w:fill="auto"/>
            <w:vAlign w:val="bottom"/>
            <w:hideMark/>
          </w:tcPr>
          <w:p w:rsidR="00384B55" w:rsidRPr="00281953" w:rsidRDefault="00384B55" w:rsidP="00C11E83">
            <w:pPr>
              <w:jc w:val="center"/>
              <w:rPr>
                <w:szCs w:val="24"/>
              </w:rPr>
            </w:pPr>
            <w:r w:rsidRPr="00281953">
              <w:rPr>
                <w:szCs w:val="24"/>
              </w:rPr>
              <w:t>Номинальная сумма требований, руб.</w:t>
            </w:r>
          </w:p>
        </w:tc>
        <w:tc>
          <w:tcPr>
            <w:tcW w:w="1586" w:type="dxa"/>
            <w:shd w:val="clear" w:color="auto" w:fill="auto"/>
            <w:vAlign w:val="bottom"/>
            <w:hideMark/>
          </w:tcPr>
          <w:p w:rsidR="00384B55" w:rsidRPr="00281953" w:rsidRDefault="00384B55" w:rsidP="00C11E83">
            <w:pPr>
              <w:jc w:val="center"/>
              <w:rPr>
                <w:szCs w:val="24"/>
              </w:rPr>
            </w:pPr>
            <w:proofErr w:type="spellStart"/>
            <w:r w:rsidRPr="00281953">
              <w:rPr>
                <w:szCs w:val="24"/>
              </w:rPr>
              <w:t>Коэфициент</w:t>
            </w:r>
            <w:proofErr w:type="spellEnd"/>
            <w:r w:rsidRPr="00281953">
              <w:rPr>
                <w:szCs w:val="24"/>
              </w:rPr>
              <w:t xml:space="preserve"> отношение цены сделки к номинальной стоимости</w:t>
            </w:r>
          </w:p>
        </w:tc>
        <w:tc>
          <w:tcPr>
            <w:tcW w:w="1397" w:type="dxa"/>
            <w:shd w:val="clear" w:color="auto" w:fill="auto"/>
            <w:vAlign w:val="bottom"/>
            <w:hideMark/>
          </w:tcPr>
          <w:p w:rsidR="00384B55" w:rsidRPr="00281953" w:rsidRDefault="00BD0880" w:rsidP="00C11E83">
            <w:pPr>
              <w:jc w:val="center"/>
              <w:rPr>
                <w:szCs w:val="24"/>
              </w:rPr>
            </w:pPr>
            <w:r>
              <w:rPr>
                <w:szCs w:val="24"/>
              </w:rPr>
              <w:t>Рыночная стоимость</w:t>
            </w:r>
            <w:r w:rsidR="00384B55" w:rsidRPr="00281953">
              <w:rPr>
                <w:szCs w:val="24"/>
              </w:rPr>
              <w:t>, руб.</w:t>
            </w:r>
          </w:p>
        </w:tc>
      </w:tr>
      <w:tr w:rsidR="003D6040" w:rsidRPr="00332619" w:rsidTr="003D6040">
        <w:trPr>
          <w:trHeight w:val="288"/>
        </w:trPr>
        <w:tc>
          <w:tcPr>
            <w:tcW w:w="4615" w:type="dxa"/>
            <w:shd w:val="clear" w:color="auto" w:fill="auto"/>
            <w:noWrap/>
            <w:vAlign w:val="bottom"/>
          </w:tcPr>
          <w:p w:rsidR="003D6040" w:rsidRPr="00BD0880" w:rsidRDefault="002808EE" w:rsidP="003D6040">
            <w:pPr>
              <w:rPr>
                <w:szCs w:val="24"/>
              </w:rPr>
            </w:pPr>
            <w:proofErr w:type="spellStart"/>
            <w:r>
              <w:rPr>
                <w:b/>
              </w:rPr>
              <w:t>Шамсудинов</w:t>
            </w:r>
            <w:proofErr w:type="spellEnd"/>
            <w:r>
              <w:rPr>
                <w:b/>
              </w:rPr>
              <w:t xml:space="preserve"> Иван Андреевич</w:t>
            </w:r>
          </w:p>
        </w:tc>
        <w:tc>
          <w:tcPr>
            <w:tcW w:w="1751" w:type="dxa"/>
            <w:shd w:val="clear" w:color="auto" w:fill="auto"/>
            <w:noWrap/>
          </w:tcPr>
          <w:p w:rsidR="003D6040" w:rsidRPr="007E7CC7" w:rsidRDefault="000168B6" w:rsidP="003D6040">
            <w:pPr>
              <w:jc w:val="center"/>
              <w:rPr>
                <w:szCs w:val="24"/>
              </w:rPr>
            </w:pPr>
            <w:r w:rsidRPr="007E7CC7">
              <w:rPr>
                <w:szCs w:val="24"/>
              </w:rPr>
              <w:t>116314.93</w:t>
            </w:r>
          </w:p>
        </w:tc>
        <w:tc>
          <w:tcPr>
            <w:tcW w:w="1586" w:type="dxa"/>
            <w:shd w:val="clear" w:color="auto" w:fill="auto"/>
            <w:noWrap/>
          </w:tcPr>
          <w:p w:rsidR="003D6040" w:rsidRPr="007E7CC7" w:rsidRDefault="003D6040" w:rsidP="003D6040">
            <w:pPr>
              <w:jc w:val="center"/>
              <w:rPr>
                <w:szCs w:val="24"/>
              </w:rPr>
            </w:pPr>
            <w:r w:rsidRPr="007E7CC7">
              <w:rPr>
                <w:szCs w:val="24"/>
              </w:rPr>
              <w:t>0,103</w:t>
            </w:r>
          </w:p>
        </w:tc>
        <w:tc>
          <w:tcPr>
            <w:tcW w:w="1397" w:type="dxa"/>
            <w:shd w:val="clear" w:color="auto" w:fill="auto"/>
            <w:noWrap/>
          </w:tcPr>
          <w:p w:rsidR="003D6040" w:rsidRPr="007E7CC7" w:rsidRDefault="000168B6" w:rsidP="003D6040">
            <w:pPr>
              <w:jc w:val="center"/>
              <w:rPr>
                <w:szCs w:val="24"/>
              </w:rPr>
            </w:pPr>
            <w:r w:rsidRPr="007E7CC7">
              <w:rPr>
                <w:szCs w:val="24"/>
              </w:rPr>
              <w:t>11980.43</w:t>
            </w:r>
          </w:p>
        </w:tc>
      </w:tr>
      <w:tr w:rsidR="003D6040" w:rsidRPr="00332619" w:rsidTr="003D6040">
        <w:trPr>
          <w:trHeight w:val="288"/>
        </w:trPr>
        <w:tc>
          <w:tcPr>
            <w:tcW w:w="4615" w:type="dxa"/>
            <w:shd w:val="clear" w:color="auto" w:fill="auto"/>
            <w:noWrap/>
            <w:vAlign w:val="bottom"/>
          </w:tcPr>
          <w:p w:rsidR="003D6040" w:rsidRPr="00BD0880" w:rsidRDefault="002808EE" w:rsidP="003D6040">
            <w:pPr>
              <w:rPr>
                <w:szCs w:val="24"/>
              </w:rPr>
            </w:pPr>
            <w:proofErr w:type="spellStart"/>
            <w:r>
              <w:rPr>
                <w:b/>
              </w:rPr>
              <w:t>Шамсудинов</w:t>
            </w:r>
            <w:proofErr w:type="spellEnd"/>
            <w:r>
              <w:rPr>
                <w:b/>
              </w:rPr>
              <w:t xml:space="preserve"> Иван Андреевич</w:t>
            </w:r>
          </w:p>
        </w:tc>
        <w:tc>
          <w:tcPr>
            <w:tcW w:w="1751" w:type="dxa"/>
            <w:shd w:val="clear" w:color="auto" w:fill="auto"/>
            <w:noWrap/>
          </w:tcPr>
          <w:p w:rsidR="003D6040" w:rsidRPr="007E7CC7" w:rsidRDefault="000168B6" w:rsidP="003D6040">
            <w:pPr>
              <w:jc w:val="center"/>
              <w:rPr>
                <w:szCs w:val="24"/>
              </w:rPr>
            </w:pPr>
            <w:r w:rsidRPr="007E7CC7">
              <w:rPr>
                <w:szCs w:val="24"/>
              </w:rPr>
              <w:t>500000.00</w:t>
            </w:r>
          </w:p>
        </w:tc>
        <w:tc>
          <w:tcPr>
            <w:tcW w:w="1586" w:type="dxa"/>
            <w:shd w:val="clear" w:color="auto" w:fill="auto"/>
            <w:noWrap/>
          </w:tcPr>
          <w:p w:rsidR="003D6040" w:rsidRPr="007E7CC7" w:rsidRDefault="003D6040" w:rsidP="003D6040">
            <w:pPr>
              <w:jc w:val="center"/>
              <w:rPr>
                <w:szCs w:val="24"/>
              </w:rPr>
            </w:pPr>
            <w:r w:rsidRPr="007E7CC7">
              <w:rPr>
                <w:szCs w:val="24"/>
              </w:rPr>
              <w:t>0,103</w:t>
            </w:r>
          </w:p>
        </w:tc>
        <w:tc>
          <w:tcPr>
            <w:tcW w:w="1397" w:type="dxa"/>
            <w:shd w:val="clear" w:color="auto" w:fill="auto"/>
            <w:noWrap/>
          </w:tcPr>
          <w:p w:rsidR="003D6040" w:rsidRPr="007E7CC7" w:rsidRDefault="000168B6" w:rsidP="003D6040">
            <w:pPr>
              <w:jc w:val="center"/>
              <w:rPr>
                <w:szCs w:val="24"/>
              </w:rPr>
            </w:pPr>
            <w:r w:rsidRPr="007E7CC7">
              <w:rPr>
                <w:szCs w:val="24"/>
              </w:rPr>
              <w:t>51500.00</w:t>
            </w:r>
          </w:p>
        </w:tc>
      </w:tr>
      <w:tr w:rsidR="003D6040" w:rsidRPr="00332619" w:rsidTr="003D6040">
        <w:trPr>
          <w:trHeight w:val="288"/>
        </w:trPr>
        <w:tc>
          <w:tcPr>
            <w:tcW w:w="4615" w:type="dxa"/>
            <w:shd w:val="clear" w:color="auto" w:fill="auto"/>
            <w:noWrap/>
            <w:vAlign w:val="bottom"/>
          </w:tcPr>
          <w:p w:rsidR="003D6040" w:rsidRPr="00BD0880" w:rsidRDefault="002808EE" w:rsidP="003D6040">
            <w:pPr>
              <w:rPr>
                <w:szCs w:val="24"/>
              </w:rPr>
            </w:pPr>
            <w:proofErr w:type="spellStart"/>
            <w:r>
              <w:rPr>
                <w:b/>
              </w:rPr>
              <w:t>Шамсудинов</w:t>
            </w:r>
            <w:proofErr w:type="spellEnd"/>
            <w:r>
              <w:rPr>
                <w:b/>
              </w:rPr>
              <w:t xml:space="preserve"> Иван Андреевич</w:t>
            </w:r>
          </w:p>
        </w:tc>
        <w:tc>
          <w:tcPr>
            <w:tcW w:w="1751" w:type="dxa"/>
            <w:shd w:val="clear" w:color="auto" w:fill="auto"/>
            <w:noWrap/>
          </w:tcPr>
          <w:p w:rsidR="003D6040" w:rsidRPr="007E7CC7" w:rsidRDefault="000168B6" w:rsidP="003D6040">
            <w:pPr>
              <w:jc w:val="center"/>
              <w:rPr>
                <w:szCs w:val="24"/>
              </w:rPr>
            </w:pPr>
            <w:r w:rsidRPr="007E7CC7">
              <w:rPr>
                <w:szCs w:val="24"/>
              </w:rPr>
              <w:t>225000.00</w:t>
            </w:r>
          </w:p>
        </w:tc>
        <w:tc>
          <w:tcPr>
            <w:tcW w:w="1586" w:type="dxa"/>
            <w:shd w:val="clear" w:color="auto" w:fill="auto"/>
            <w:noWrap/>
          </w:tcPr>
          <w:p w:rsidR="003D6040" w:rsidRPr="007E7CC7" w:rsidRDefault="003D6040" w:rsidP="003D6040">
            <w:pPr>
              <w:jc w:val="center"/>
              <w:rPr>
                <w:szCs w:val="24"/>
              </w:rPr>
            </w:pPr>
            <w:r w:rsidRPr="007E7CC7">
              <w:rPr>
                <w:szCs w:val="24"/>
              </w:rPr>
              <w:t>0,103</w:t>
            </w:r>
          </w:p>
        </w:tc>
        <w:tc>
          <w:tcPr>
            <w:tcW w:w="1397" w:type="dxa"/>
            <w:shd w:val="clear" w:color="auto" w:fill="auto"/>
            <w:noWrap/>
          </w:tcPr>
          <w:p w:rsidR="003D6040" w:rsidRPr="007E7CC7" w:rsidRDefault="000168B6" w:rsidP="003D6040">
            <w:pPr>
              <w:jc w:val="center"/>
              <w:rPr>
                <w:szCs w:val="24"/>
              </w:rPr>
            </w:pPr>
            <w:r w:rsidRPr="007E7CC7">
              <w:rPr>
                <w:szCs w:val="24"/>
              </w:rPr>
              <w:t>23175.00</w:t>
            </w:r>
          </w:p>
        </w:tc>
      </w:tr>
      <w:tr w:rsidR="003D6040" w:rsidRPr="00332619" w:rsidTr="003D6040">
        <w:trPr>
          <w:trHeight w:val="288"/>
        </w:trPr>
        <w:tc>
          <w:tcPr>
            <w:tcW w:w="4615" w:type="dxa"/>
            <w:shd w:val="clear" w:color="auto" w:fill="auto"/>
            <w:noWrap/>
            <w:vAlign w:val="bottom"/>
          </w:tcPr>
          <w:p w:rsidR="003D6040" w:rsidRPr="00BD0880" w:rsidRDefault="002808EE" w:rsidP="003D6040">
            <w:pPr>
              <w:rPr>
                <w:szCs w:val="24"/>
              </w:rPr>
            </w:pPr>
            <w:r>
              <w:rPr>
                <w:szCs w:val="24"/>
              </w:rPr>
              <w:t>ИТОГО</w:t>
            </w:r>
          </w:p>
        </w:tc>
        <w:tc>
          <w:tcPr>
            <w:tcW w:w="1751" w:type="dxa"/>
            <w:shd w:val="clear" w:color="auto" w:fill="auto"/>
            <w:noWrap/>
          </w:tcPr>
          <w:p w:rsidR="003D6040" w:rsidRPr="00CC513E" w:rsidRDefault="000168B6" w:rsidP="003D6040">
            <w:pPr>
              <w:jc w:val="center"/>
              <w:rPr>
                <w:b/>
                <w:szCs w:val="24"/>
              </w:rPr>
            </w:pPr>
            <w:r w:rsidRPr="00CC513E">
              <w:rPr>
                <w:b/>
                <w:szCs w:val="24"/>
              </w:rPr>
              <w:t>841314.92</w:t>
            </w:r>
          </w:p>
        </w:tc>
        <w:tc>
          <w:tcPr>
            <w:tcW w:w="1586" w:type="dxa"/>
            <w:shd w:val="clear" w:color="auto" w:fill="auto"/>
            <w:noWrap/>
          </w:tcPr>
          <w:p w:rsidR="003D6040" w:rsidRPr="007E7CC7" w:rsidRDefault="003D6040" w:rsidP="003D6040">
            <w:pPr>
              <w:jc w:val="center"/>
              <w:rPr>
                <w:szCs w:val="24"/>
              </w:rPr>
            </w:pPr>
            <w:r w:rsidRPr="007E7CC7">
              <w:rPr>
                <w:szCs w:val="24"/>
              </w:rPr>
              <w:t>0,103</w:t>
            </w:r>
          </w:p>
        </w:tc>
        <w:tc>
          <w:tcPr>
            <w:tcW w:w="1397" w:type="dxa"/>
            <w:shd w:val="clear" w:color="auto" w:fill="auto"/>
            <w:noWrap/>
          </w:tcPr>
          <w:p w:rsidR="003D6040" w:rsidRPr="00CC513E" w:rsidRDefault="000168B6" w:rsidP="003D6040">
            <w:pPr>
              <w:jc w:val="center"/>
              <w:rPr>
                <w:b/>
                <w:szCs w:val="24"/>
              </w:rPr>
            </w:pPr>
            <w:r w:rsidRPr="00CC513E">
              <w:rPr>
                <w:b/>
                <w:szCs w:val="24"/>
              </w:rPr>
              <w:t>86655.43</w:t>
            </w:r>
          </w:p>
        </w:tc>
      </w:tr>
    </w:tbl>
    <w:p w:rsidR="00384B55" w:rsidRDefault="00384B55" w:rsidP="00384B55">
      <w:pPr>
        <w:pStyle w:val="ConsPlusNormal"/>
        <w:ind w:firstLine="567"/>
        <w:jc w:val="both"/>
      </w:pPr>
    </w:p>
    <w:p w:rsidR="00281953" w:rsidRDefault="00281953" w:rsidP="00384B55">
      <w:pPr>
        <w:pStyle w:val="ConsPlusNormal"/>
        <w:ind w:firstLine="567"/>
        <w:jc w:val="both"/>
      </w:pPr>
    </w:p>
    <w:p w:rsidR="00281953" w:rsidRDefault="00281953" w:rsidP="00384B55">
      <w:pPr>
        <w:pStyle w:val="ConsPlusNormal"/>
        <w:ind w:firstLine="567"/>
        <w:jc w:val="both"/>
      </w:pPr>
    </w:p>
    <w:p w:rsidR="00281953" w:rsidRDefault="002808EE" w:rsidP="00384B55">
      <w:pPr>
        <w:pStyle w:val="ConsPlusNormal"/>
        <w:ind w:firstLine="567"/>
        <w:jc w:val="both"/>
      </w:pPr>
      <w:r>
        <w:t>Финансовый</w:t>
      </w:r>
      <w:r w:rsidR="00281953">
        <w:t xml:space="preserve"> управляющий _______________________ </w:t>
      </w:r>
      <w:proofErr w:type="spellStart"/>
      <w:r>
        <w:t>Панечкина</w:t>
      </w:r>
      <w:proofErr w:type="spellEnd"/>
      <w:r>
        <w:t xml:space="preserve"> О.П.</w:t>
      </w:r>
    </w:p>
    <w:sectPr w:rsidR="00281953" w:rsidSect="003326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1D3E"/>
    <w:multiLevelType w:val="hybridMultilevel"/>
    <w:tmpl w:val="2266E95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5580F12"/>
    <w:multiLevelType w:val="hybridMultilevel"/>
    <w:tmpl w:val="D4CC3470"/>
    <w:lvl w:ilvl="0" w:tplc="D4541548">
      <w:start w:val="1"/>
      <w:numFmt w:val="bullet"/>
      <w:lvlText w:val=""/>
      <w:lvlJc w:val="left"/>
      <w:pPr>
        <w:ind w:left="1440" w:hanging="360"/>
      </w:pPr>
      <w:rPr>
        <w:rFonts w:ascii="Symbol" w:hAnsi="Symbol" w:hint="default"/>
      </w:rPr>
    </w:lvl>
    <w:lvl w:ilvl="1" w:tplc="053E8808">
      <w:start w:val="4"/>
      <w:numFmt w:val="bullet"/>
      <w:lvlText w:val="·"/>
      <w:lvlJc w:val="left"/>
      <w:pPr>
        <w:ind w:left="2700" w:hanging="90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70C2152"/>
    <w:multiLevelType w:val="hybridMultilevel"/>
    <w:tmpl w:val="68DC5B44"/>
    <w:lvl w:ilvl="0" w:tplc="0594511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CC01829"/>
    <w:multiLevelType w:val="multilevel"/>
    <w:tmpl w:val="438A77FC"/>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F4B3F4C"/>
    <w:multiLevelType w:val="hybridMultilevel"/>
    <w:tmpl w:val="F5F8C8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AF"/>
    <w:rsid w:val="000168B6"/>
    <w:rsid w:val="0002052B"/>
    <w:rsid w:val="00077100"/>
    <w:rsid w:val="000B3B68"/>
    <w:rsid w:val="000B45C8"/>
    <w:rsid w:val="00102BAF"/>
    <w:rsid w:val="001E5CEF"/>
    <w:rsid w:val="002808EE"/>
    <w:rsid w:val="00281953"/>
    <w:rsid w:val="00324A0E"/>
    <w:rsid w:val="00332619"/>
    <w:rsid w:val="00384B55"/>
    <w:rsid w:val="003D6040"/>
    <w:rsid w:val="003E18E8"/>
    <w:rsid w:val="004059E4"/>
    <w:rsid w:val="004535F3"/>
    <w:rsid w:val="004F72AA"/>
    <w:rsid w:val="005664AB"/>
    <w:rsid w:val="005F47C3"/>
    <w:rsid w:val="006D0D0A"/>
    <w:rsid w:val="00723559"/>
    <w:rsid w:val="00725B1C"/>
    <w:rsid w:val="00787488"/>
    <w:rsid w:val="007B76E5"/>
    <w:rsid w:val="007E7CC7"/>
    <w:rsid w:val="00822FC1"/>
    <w:rsid w:val="00925A03"/>
    <w:rsid w:val="009811B2"/>
    <w:rsid w:val="00B11F7C"/>
    <w:rsid w:val="00BD0880"/>
    <w:rsid w:val="00C01324"/>
    <w:rsid w:val="00CA124F"/>
    <w:rsid w:val="00CC513E"/>
    <w:rsid w:val="00CE17C2"/>
    <w:rsid w:val="00DC1FF3"/>
    <w:rsid w:val="00E46E7A"/>
    <w:rsid w:val="00F8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15BA"/>
  <w15:chartTrackingRefBased/>
  <w15:docId w15:val="{7E768FC1-47FA-473F-BF15-14B4930A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5F3"/>
    <w:pPr>
      <w:spacing w:after="0" w:line="240" w:lineRule="auto"/>
    </w:pPr>
    <w:rPr>
      <w:rFonts w:ascii="Times New Roman" w:eastAsia="Times New Roman" w:hAnsi="Times New Roman" w:cs="Times New Roman"/>
      <w:sz w:val="24"/>
      <w:szCs w:val="20"/>
      <w:lang w:eastAsia="ru-RU"/>
    </w:rPr>
  </w:style>
  <w:style w:type="paragraph" w:styleId="1">
    <w:name w:val="heading 1"/>
    <w:aliases w:val="Заголовок Max1,Head 1,Раздел,Главный,2К Заголовок 1,Head 1 Знак,????????? 1,2К,Заголовок 1 Знак1,Заголовок-2,Head 1 Знак Знак Знак,Head 11 Знак Знак Знак Знак,co"/>
    <w:basedOn w:val="a"/>
    <w:next w:val="a"/>
    <w:link w:val="12"/>
    <w:qFormat/>
    <w:rsid w:val="00E46E7A"/>
    <w:pPr>
      <w:keepNext/>
      <w:jc w:val="center"/>
      <w:outlineLvl w:val="0"/>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46E7A"/>
    <w:rPr>
      <w:rFonts w:asciiTheme="majorHAnsi" w:eastAsiaTheme="majorEastAsia" w:hAnsiTheme="majorHAnsi" w:cstheme="majorBidi"/>
      <w:color w:val="2E74B5" w:themeColor="accent1" w:themeShade="BF"/>
      <w:sz w:val="32"/>
      <w:szCs w:val="32"/>
      <w:lang w:eastAsia="ru-RU"/>
    </w:rPr>
  </w:style>
  <w:style w:type="character" w:customStyle="1" w:styleId="12">
    <w:name w:val="Заголовок 1 Знак2"/>
    <w:aliases w:val="Заголовок Max1 Знак,Head 1 Знак1,Раздел Знак,Главный Знак,2К Заголовок 1 Знак,Head 1 Знак Знак,????????? 1 Знак,2К Знак,Заголовок 1 Знак1 Знак,Заголовок-2 Знак,Head 1 Знак Знак Знак Знак,Head 11 Знак Знак Знак Знак Знак,co Знак"/>
    <w:link w:val="1"/>
    <w:rsid w:val="00E46E7A"/>
    <w:rPr>
      <w:rFonts w:ascii="Times New Roman" w:eastAsia="Times New Roman" w:hAnsi="Times New Roman" w:cs="Times New Roman"/>
      <w:b/>
      <w:caps/>
      <w:sz w:val="24"/>
      <w:szCs w:val="20"/>
      <w:lang w:eastAsia="ru-RU"/>
    </w:rPr>
  </w:style>
  <w:style w:type="paragraph" w:styleId="a3">
    <w:name w:val="List Paragraph"/>
    <w:basedOn w:val="a"/>
    <w:link w:val="a4"/>
    <w:uiPriority w:val="99"/>
    <w:qFormat/>
    <w:rsid w:val="00E46E7A"/>
    <w:pPr>
      <w:ind w:left="720"/>
      <w:contextualSpacing/>
    </w:pPr>
    <w:rPr>
      <w:lang w:val="x-none" w:eastAsia="x-none"/>
    </w:rPr>
  </w:style>
  <w:style w:type="character" w:customStyle="1" w:styleId="a4">
    <w:name w:val="Абзац списка Знак"/>
    <w:link w:val="a3"/>
    <w:uiPriority w:val="99"/>
    <w:locked/>
    <w:rsid w:val="00E46E7A"/>
    <w:rPr>
      <w:rFonts w:ascii="Times New Roman" w:eastAsia="Times New Roman" w:hAnsi="Times New Roman" w:cs="Times New Roman"/>
      <w:sz w:val="24"/>
      <w:szCs w:val="20"/>
      <w:lang w:val="x-none" w:eastAsia="x-none"/>
    </w:rPr>
  </w:style>
  <w:style w:type="paragraph" w:customStyle="1" w:styleId="ConsPlusNormal">
    <w:name w:val="ConsPlusNormal"/>
    <w:uiPriority w:val="99"/>
    <w:rsid w:val="00C013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p5">
    <w:name w:val="p5"/>
    <w:basedOn w:val="a"/>
    <w:rsid w:val="00C01324"/>
    <w:pPr>
      <w:spacing w:before="100" w:beforeAutospacing="1" w:after="100" w:afterAutospacing="1"/>
    </w:pPr>
    <w:rPr>
      <w:szCs w:val="24"/>
    </w:rPr>
  </w:style>
  <w:style w:type="paragraph" w:customStyle="1" w:styleId="p6">
    <w:name w:val="p6"/>
    <w:basedOn w:val="a"/>
    <w:rsid w:val="00C01324"/>
    <w:pPr>
      <w:spacing w:before="100" w:beforeAutospacing="1" w:after="100" w:afterAutospacing="1"/>
    </w:pPr>
    <w:rPr>
      <w:szCs w:val="24"/>
    </w:rPr>
  </w:style>
  <w:style w:type="character" w:customStyle="1" w:styleId="s1">
    <w:name w:val="s1"/>
    <w:rsid w:val="00C01324"/>
  </w:style>
  <w:style w:type="paragraph" w:styleId="a5">
    <w:name w:val="No Spacing"/>
    <w:uiPriority w:val="1"/>
    <w:qFormat/>
    <w:rsid w:val="00C01324"/>
    <w:pPr>
      <w:spacing w:after="0" w:line="240" w:lineRule="auto"/>
    </w:pPr>
    <w:rPr>
      <w:rFonts w:ascii="Calibri" w:eastAsia="Times New Roman" w:hAnsi="Calibri" w:cs="Times New Roman"/>
    </w:rPr>
  </w:style>
  <w:style w:type="character" w:styleId="a6">
    <w:name w:val="Hyperlink"/>
    <w:basedOn w:val="a0"/>
    <w:uiPriority w:val="99"/>
    <w:unhideWhenUsed/>
    <w:rsid w:val="00822FC1"/>
    <w:rPr>
      <w:rFonts w:ascii="Times New Roman" w:hAnsi="Times New Roman" w:cs="Times New Roman" w:hint="default"/>
      <w:color w:val="0000FF"/>
      <w:u w:val="single"/>
    </w:rPr>
  </w:style>
  <w:style w:type="paragraph" w:customStyle="1" w:styleId="p41">
    <w:name w:val="p41"/>
    <w:basedOn w:val="a"/>
    <w:uiPriority w:val="99"/>
    <w:semiHidden/>
    <w:rsid w:val="00822FC1"/>
    <w:pPr>
      <w:spacing w:before="100" w:beforeAutospacing="1" w:after="100" w:afterAutospacing="1"/>
    </w:pPr>
    <w:rPr>
      <w:szCs w:val="24"/>
    </w:rPr>
  </w:style>
  <w:style w:type="character" w:customStyle="1" w:styleId="s13">
    <w:name w:val="s13"/>
    <w:uiPriority w:val="99"/>
    <w:rsid w:val="00822FC1"/>
  </w:style>
  <w:style w:type="paragraph" w:styleId="a7">
    <w:name w:val="Normal (Web)"/>
    <w:basedOn w:val="a"/>
    <w:link w:val="a8"/>
    <w:uiPriority w:val="99"/>
    <w:unhideWhenUsed/>
    <w:rsid w:val="00077100"/>
    <w:pPr>
      <w:spacing w:before="100" w:beforeAutospacing="1" w:after="100" w:afterAutospacing="1"/>
      <w:ind w:firstLine="708"/>
    </w:pPr>
    <w:rPr>
      <w:szCs w:val="24"/>
    </w:rPr>
  </w:style>
  <w:style w:type="character" w:customStyle="1" w:styleId="a8">
    <w:name w:val="Обычный (веб) Знак"/>
    <w:link w:val="a7"/>
    <w:uiPriority w:val="99"/>
    <w:locked/>
    <w:rsid w:val="00077100"/>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332619"/>
    <w:rPr>
      <w:color w:val="954F72"/>
      <w:u w:val="single"/>
    </w:rPr>
  </w:style>
  <w:style w:type="paragraph" w:customStyle="1" w:styleId="msonormal0">
    <w:name w:val="msonormal"/>
    <w:basedOn w:val="a"/>
    <w:rsid w:val="00332619"/>
    <w:pPr>
      <w:spacing w:before="100" w:beforeAutospacing="1" w:after="100" w:afterAutospacing="1"/>
    </w:pPr>
    <w:rPr>
      <w:szCs w:val="24"/>
    </w:rPr>
  </w:style>
  <w:style w:type="paragraph" w:customStyle="1" w:styleId="xl65">
    <w:name w:val="xl65"/>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Cs w:val="24"/>
    </w:rPr>
  </w:style>
  <w:style w:type="paragraph" w:customStyle="1" w:styleId="xl68">
    <w:name w:val="xl68"/>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Cs w:val="24"/>
    </w:rPr>
  </w:style>
  <w:style w:type="paragraph" w:customStyle="1" w:styleId="xl69">
    <w:name w:val="xl69"/>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0">
    <w:name w:val="xl70"/>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Cs w:val="24"/>
    </w:rPr>
  </w:style>
  <w:style w:type="paragraph" w:customStyle="1" w:styleId="xl71">
    <w:name w:val="xl71"/>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2">
    <w:name w:val="xl72"/>
    <w:basedOn w:val="a"/>
    <w:rsid w:val="00332619"/>
    <w:pPr>
      <w:spacing w:before="100" w:beforeAutospacing="1" w:after="100" w:afterAutospacing="1"/>
    </w:pPr>
    <w:rPr>
      <w:rFonts w:ascii="Calibri" w:hAnsi="Calibri" w:cs="Calibri"/>
      <w:b/>
      <w:bCs/>
      <w:szCs w:val="24"/>
    </w:rPr>
  </w:style>
  <w:style w:type="paragraph" w:customStyle="1" w:styleId="xl74">
    <w:name w:val="xl74"/>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Cs w:val="24"/>
    </w:rPr>
  </w:style>
  <w:style w:type="paragraph" w:customStyle="1" w:styleId="xl75">
    <w:name w:val="xl75"/>
    <w:basedOn w:val="a"/>
    <w:rsid w:val="0033261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7322">
      <w:bodyDiv w:val="1"/>
      <w:marLeft w:val="0"/>
      <w:marRight w:val="0"/>
      <w:marTop w:val="0"/>
      <w:marBottom w:val="0"/>
      <w:divBdr>
        <w:top w:val="none" w:sz="0" w:space="0" w:color="auto"/>
        <w:left w:val="none" w:sz="0" w:space="0" w:color="auto"/>
        <w:bottom w:val="none" w:sz="0" w:space="0" w:color="auto"/>
        <w:right w:val="none" w:sz="0" w:space="0" w:color="auto"/>
      </w:divBdr>
    </w:div>
    <w:div w:id="522666103">
      <w:bodyDiv w:val="1"/>
      <w:marLeft w:val="0"/>
      <w:marRight w:val="0"/>
      <w:marTop w:val="0"/>
      <w:marBottom w:val="0"/>
      <w:divBdr>
        <w:top w:val="none" w:sz="0" w:space="0" w:color="auto"/>
        <w:left w:val="none" w:sz="0" w:space="0" w:color="auto"/>
        <w:bottom w:val="none" w:sz="0" w:space="0" w:color="auto"/>
        <w:right w:val="none" w:sz="0" w:space="0" w:color="auto"/>
      </w:divBdr>
    </w:div>
    <w:div w:id="1201162553">
      <w:bodyDiv w:val="1"/>
      <w:marLeft w:val="0"/>
      <w:marRight w:val="0"/>
      <w:marTop w:val="0"/>
      <w:marBottom w:val="0"/>
      <w:divBdr>
        <w:top w:val="none" w:sz="0" w:space="0" w:color="auto"/>
        <w:left w:val="none" w:sz="0" w:space="0" w:color="auto"/>
        <w:bottom w:val="none" w:sz="0" w:space="0" w:color="auto"/>
        <w:right w:val="none" w:sz="0" w:space="0" w:color="auto"/>
      </w:divBdr>
    </w:div>
    <w:div w:id="1328291062">
      <w:bodyDiv w:val="1"/>
      <w:marLeft w:val="0"/>
      <w:marRight w:val="0"/>
      <w:marTop w:val="0"/>
      <w:marBottom w:val="0"/>
      <w:divBdr>
        <w:top w:val="none" w:sz="0" w:space="0" w:color="auto"/>
        <w:left w:val="none" w:sz="0" w:space="0" w:color="auto"/>
        <w:bottom w:val="none" w:sz="0" w:space="0" w:color="auto"/>
        <w:right w:val="none" w:sz="0" w:space="0" w:color="auto"/>
      </w:divBdr>
    </w:div>
    <w:div w:id="1684815171">
      <w:bodyDiv w:val="1"/>
      <w:marLeft w:val="0"/>
      <w:marRight w:val="0"/>
      <w:marTop w:val="0"/>
      <w:marBottom w:val="0"/>
      <w:divBdr>
        <w:top w:val="none" w:sz="0" w:space="0" w:color="auto"/>
        <w:left w:val="none" w:sz="0" w:space="0" w:color="auto"/>
        <w:bottom w:val="none" w:sz="0" w:space="0" w:color="auto"/>
        <w:right w:val="none" w:sz="0" w:space="0" w:color="auto"/>
      </w:divBdr>
    </w:div>
    <w:div w:id="19779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86;&#1074;&#1072;&#1103;%20&#1087;&#1072;&#1087;&#1082;&#1072;\&#1054;&#1090;&#1095;&#1077;&#1090;%20&#1086;&#1073;%20&#1086;&#1094;&#1077;&#1085;&#1082;&#1077;%20&#1061;&#1072;&#1079;&#1080;&#1077;&#1074;&#1072;%20&#1054;&#1057;&#1053;.doc" TargetMode="External"/><Relationship Id="rId3" Type="http://schemas.openxmlformats.org/officeDocument/2006/relationships/settings" Target="settings.xml"/><Relationship Id="rId7" Type="http://schemas.openxmlformats.org/officeDocument/2006/relationships/hyperlink" Target="file:///C:\Users\user\Desktop\&#1053;&#1086;&#1074;&#1072;&#1103;%20&#1087;&#1072;&#1087;&#1082;&#1072;\&#1054;&#1090;&#1095;&#1077;&#1090;%20&#1086;&#1073;%20&#1086;&#1094;&#1077;&#1085;&#1082;&#1077;%20&#1061;&#1072;&#1079;&#1080;&#1077;&#1074;&#1072;%20&#1054;&#1057;&#105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3;&#1086;&#1074;&#1072;&#1103;%20&#1087;&#1072;&#1087;&#1082;&#1072;\&#1054;&#1090;&#1095;&#1077;&#1090;%20&#1086;&#1073;%20&#1086;&#1094;&#1077;&#1085;&#1082;&#1077;%20&#1061;&#1072;&#1079;&#1080;&#1077;&#1074;&#1072;%20&#1054;&#1057;&#1053;.doc" TargetMode="External"/><Relationship Id="rId5" Type="http://schemas.openxmlformats.org/officeDocument/2006/relationships/hyperlink" Target="file:///C:\Users\user\Desktop\&#1053;&#1086;&#1074;&#1072;&#1103;%20&#1087;&#1072;&#1087;&#1082;&#1072;\&#1054;&#1090;&#1095;&#1077;&#1090;%20&#1086;&#1073;%20&#1086;&#1094;&#1077;&#1085;&#1082;&#1077;%20&#1061;&#1072;&#1079;&#1080;&#1077;&#1074;&#1072;%20&#1054;&#1057;&#105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dc:creator>
  <cp:keywords/>
  <dc:description/>
  <cp:lastModifiedBy>Admin</cp:lastModifiedBy>
  <cp:revision>27</cp:revision>
  <dcterms:created xsi:type="dcterms:W3CDTF">2021-04-30T12:11:00Z</dcterms:created>
  <dcterms:modified xsi:type="dcterms:W3CDTF">2025-04-14T10:55:00Z</dcterms:modified>
</cp:coreProperties>
</file>